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4CD" w:rsidRDefault="004174CD" w:rsidP="00E61C0E">
      <w:pPr>
        <w:autoSpaceDE w:val="0"/>
        <w:autoSpaceDN w:val="0"/>
        <w:adjustRightInd w:val="0"/>
        <w:spacing w:after="0" w:line="276" w:lineRule="auto"/>
        <w:rPr>
          <w:rFonts w:ascii="微软雅黑" w:eastAsia="微软雅黑" w:hAnsi="微软雅黑" w:cs="宋体"/>
          <w:sz w:val="24"/>
          <w:szCs w:val="24"/>
        </w:rPr>
      </w:pPr>
    </w:p>
    <w:p w:rsidR="00EE0AF9" w:rsidRPr="00EE0AF9" w:rsidRDefault="00EE0AF9" w:rsidP="00E74394">
      <w:pPr>
        <w:autoSpaceDE w:val="0"/>
        <w:autoSpaceDN w:val="0"/>
        <w:adjustRightInd w:val="0"/>
        <w:spacing w:after="0" w:line="276" w:lineRule="auto"/>
        <w:rPr>
          <w:rFonts w:ascii="微软雅黑" w:eastAsia="微软雅黑" w:hAnsi="微软雅黑" w:cs="宋体"/>
          <w:sz w:val="10"/>
          <w:szCs w:val="24"/>
        </w:rPr>
      </w:pPr>
    </w:p>
    <w:tbl>
      <w:tblPr>
        <w:tblStyle w:val="11"/>
        <w:tblW w:w="5000" w:type="pct"/>
        <w:tblLayout w:type="fixed"/>
        <w:tblLook w:val="04A0" w:firstRow="1" w:lastRow="0" w:firstColumn="1" w:lastColumn="0" w:noHBand="0" w:noVBand="1"/>
      </w:tblPr>
      <w:tblGrid>
        <w:gridCol w:w="1436"/>
        <w:gridCol w:w="898"/>
        <w:gridCol w:w="1351"/>
        <w:gridCol w:w="1170"/>
        <w:gridCol w:w="991"/>
        <w:gridCol w:w="1529"/>
        <w:gridCol w:w="900"/>
        <w:gridCol w:w="1080"/>
        <w:gridCol w:w="715"/>
      </w:tblGrid>
      <w:tr w:rsidR="00EE0AF9" w:rsidRPr="000F40A3" w:rsidTr="000F5B6F">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00" w:type="pct"/>
            <w:gridSpan w:val="9"/>
            <w:vAlign w:val="center"/>
          </w:tcPr>
          <w:p w:rsidR="00EE0AF9" w:rsidRPr="008D3A73" w:rsidRDefault="00EE0AF9" w:rsidP="00EE0AF9">
            <w:pPr>
              <w:autoSpaceDE w:val="0"/>
              <w:autoSpaceDN w:val="0"/>
              <w:adjustRightInd w:val="0"/>
              <w:spacing w:line="276" w:lineRule="auto"/>
              <w:jc w:val="center"/>
              <w:rPr>
                <w:rFonts w:ascii="Calibri" w:eastAsia="Times New Roman" w:hAnsi="Calibri" w:cs="Calibri"/>
                <w:color w:val="000000"/>
                <w:sz w:val="32"/>
              </w:rPr>
            </w:pPr>
            <w:bookmarkStart w:id="0" w:name="_GoBack"/>
            <w:r w:rsidRPr="008D3A73">
              <w:rPr>
                <w:rFonts w:ascii="微软雅黑" w:eastAsia="微软雅黑" w:hAnsi="微软雅黑" w:cs="宋体"/>
                <w:sz w:val="24"/>
                <w:szCs w:val="24"/>
              </w:rPr>
              <w:t>Cell Press</w:t>
            </w:r>
            <w:r w:rsidRPr="008D3A73">
              <w:rPr>
                <w:rFonts w:ascii="微软雅黑" w:eastAsia="微软雅黑" w:hAnsi="微软雅黑" w:cs="宋体" w:hint="eastAsia"/>
                <w:sz w:val="24"/>
                <w:szCs w:val="24"/>
              </w:rPr>
              <w:t>期刊简介</w:t>
            </w:r>
            <w:bookmarkEnd w:id="0"/>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Cell</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0092-8674</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21.99</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36.22</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等线" w:eastAsia="等线" w:hAnsi="等线" w:cs="Calibri"/>
                <w:color w:val="000000"/>
              </w:rPr>
            </w:pPr>
            <w:r w:rsidRPr="000F40A3">
              <w:rPr>
                <w:rFonts w:ascii="等线" w:eastAsia="等线" w:hAnsi="等线" w:cs="Calibri" w:hint="eastAsia"/>
                <w:color w:val="000000"/>
              </w:rPr>
              <w:t>创刊年</w:t>
            </w:r>
            <w:r w:rsidRPr="000F40A3">
              <w:rPr>
                <w:rFonts w:ascii="Calibri" w:eastAsia="等线"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1974</w:t>
            </w:r>
          </w:p>
        </w:tc>
      </w:tr>
      <w:tr w:rsidR="000F40A3" w:rsidRPr="000F40A3" w:rsidTr="009711B7">
        <w:trPr>
          <w:trHeight w:val="243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59264" behindDoc="0" locked="0" layoutInCell="1" allowOverlap="1">
                  <wp:simplePos x="0" y="0"/>
                  <wp:positionH relativeFrom="column">
                    <wp:posOffset>2276</wp:posOffset>
                  </wp:positionH>
                  <wp:positionV relativeFrom="paragraph">
                    <wp:posOffset>-1270</wp:posOffset>
                  </wp:positionV>
                  <wp:extent cx="790575" cy="1009291"/>
                  <wp:effectExtent l="0" t="0" r="0" b="635"/>
                  <wp:wrapNone/>
                  <wp:docPr id="100" name="Picture 100">
                    <a:extLst xmlns:a="http://schemas.openxmlformats.org/drawingml/2006/main">
                      <a:ext uri="{FF2B5EF4-FFF2-40B4-BE49-F238E27FC236}">
                        <a16:creationId xmlns:a16="http://schemas.microsoft.com/office/drawing/2014/main" id="{3A763C04-B2C1-432F-8257-818C025C5F7F}"/>
                      </a:ext>
                    </a:extLst>
                  </wp:docPr>
                  <wp:cNvGraphicFramePr/>
                  <a:graphic xmlns:a="http://schemas.openxmlformats.org/drawingml/2006/main">
                    <a:graphicData uri="http://schemas.openxmlformats.org/drawingml/2006/picture">
                      <pic:pic xmlns:pic="http://schemas.openxmlformats.org/drawingml/2006/picture">
                        <pic:nvPicPr>
                          <pic:cNvPr id="2" name="Picture 3">
                            <a:extLst>
                              <a:ext uri="{FF2B5EF4-FFF2-40B4-BE49-F238E27FC236}">
                                <a16:creationId xmlns:a16="http://schemas.microsoft.com/office/drawing/2014/main" id="{3A763C04-B2C1-432F-8257-818C025C5F7F}"/>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1009291"/>
                          </a:xfrm>
                          <a:prstGeom prst="rect">
                            <a:avLst/>
                          </a:prstGeom>
                          <a:noFill/>
                        </pic:spPr>
                      </pic:pic>
                    </a:graphicData>
                  </a:graphic>
                </wp:anchor>
              </w:drawing>
            </w:r>
          </w:p>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Cell</w:t>
            </w:r>
            <w:r w:rsidRPr="000F40A3">
              <w:rPr>
                <w:rFonts w:ascii="微软雅黑" w:eastAsia="微软雅黑" w:hAnsi="微软雅黑" w:cs="Arial" w:hint="eastAsia"/>
                <w:color w:val="000000"/>
                <w:sz w:val="20"/>
                <w:szCs w:val="20"/>
              </w:rPr>
              <w:t>发表在生物学领域的发现，包括但不限于细胞生物学、分子生物学、神经科学、免疫学、病毒学和微生物学、癌症、人类遗传学、系统生物学、信号传导和疾病机制和疾病治疗。上述领域的研究结果若提供了重要的概念上的进展，或提出了一个有趣而又重要的生物学问题，期刊将非常乐意发表。</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Neuron</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0896-6273</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11.16</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14.403</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等线" w:eastAsia="等线" w:hAnsi="等线" w:cs="Calibri"/>
                <w:color w:val="000000"/>
              </w:rPr>
            </w:pPr>
            <w:r w:rsidRPr="000F40A3">
              <w:rPr>
                <w:rFonts w:ascii="等线" w:eastAsia="等线" w:hAnsi="等线" w:cs="Calibri" w:hint="eastAsia"/>
                <w:color w:val="000000"/>
              </w:rPr>
              <w:t>创刊年:</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1988</w:t>
            </w:r>
          </w:p>
        </w:tc>
      </w:tr>
      <w:tr w:rsidR="000F40A3" w:rsidRPr="000F40A3" w:rsidTr="009711B7">
        <w:trPr>
          <w:trHeight w:val="243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90575" cy="1028700"/>
                  <wp:effectExtent l="0" t="0" r="9525" b="0"/>
                  <wp:wrapNone/>
                  <wp:docPr id="99" name="Picture 99">
                    <a:extLst xmlns:a="http://schemas.openxmlformats.org/drawingml/2006/main">
                      <a:ext uri="{FF2B5EF4-FFF2-40B4-BE49-F238E27FC236}">
                        <a16:creationId xmlns:a16="http://schemas.microsoft.com/office/drawing/2014/main" id="{858EA555-2CBF-4A8A-A0BF-A1067A8F3864}"/>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58EA555-2CBF-4A8A-A0BF-A1067A8F386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0575" cy="1027747"/>
                          </a:xfrm>
                          <a:prstGeom prst="rect">
                            <a:avLst/>
                          </a:prstGeom>
                        </pic:spPr>
                      </pic:pic>
                    </a:graphicData>
                  </a:graphic>
                </wp:anchor>
              </w:drawing>
            </w:r>
          </w:p>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Neuron</w:t>
            </w:r>
            <w:r w:rsidRPr="000F40A3">
              <w:rPr>
                <w:rFonts w:ascii="微软雅黑" w:eastAsia="微软雅黑" w:hAnsi="微软雅黑" w:cs="微软雅黑"/>
                <w:color w:val="000000"/>
                <w:sz w:val="20"/>
                <w:szCs w:val="20"/>
              </w:rPr>
              <w:t>是整个神经科学领域最重要的学术论坛之一。编辑们采用跨学科的策略，将生物物理、细胞、发育和分子方法结合在一起，采用一种系统方法来感知感官、运动和高阶认知功能。</w:t>
            </w:r>
            <w:r w:rsidRPr="000F40A3">
              <w:rPr>
                <w:rFonts w:ascii="Arial" w:eastAsia="Times New Roman" w:hAnsi="Arial" w:cs="Arial"/>
                <w:color w:val="000000"/>
                <w:sz w:val="20"/>
                <w:szCs w:val="20"/>
              </w:rPr>
              <w:t xml:space="preserve">  Neuron</w:t>
            </w:r>
            <w:r w:rsidRPr="000F40A3">
              <w:rPr>
                <w:rFonts w:ascii="微软雅黑" w:eastAsia="微软雅黑" w:hAnsi="微软雅黑" w:cs="微软雅黑"/>
                <w:color w:val="000000"/>
                <w:sz w:val="20"/>
                <w:szCs w:val="20"/>
              </w:rPr>
              <w:t>还包括微评论、评论和神经技术，它能让读者了解神经科学的所有发展动态。同时期刊还包括包含会议内容及宣布即将召开的会议。</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Current Biology</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0960-9822</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5.26</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9.193</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1991</w:t>
            </w:r>
          </w:p>
        </w:tc>
      </w:tr>
      <w:tr w:rsidR="000F40A3" w:rsidRPr="000F40A3" w:rsidTr="009711B7">
        <w:trPr>
          <w:trHeight w:val="243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9D4582"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61312" behindDoc="0" locked="0" layoutInCell="1" allowOverlap="1">
                  <wp:simplePos x="0" y="0"/>
                  <wp:positionH relativeFrom="column">
                    <wp:posOffset>-3175</wp:posOffset>
                  </wp:positionH>
                  <wp:positionV relativeFrom="paragraph">
                    <wp:posOffset>-22225</wp:posOffset>
                  </wp:positionV>
                  <wp:extent cx="803910" cy="1009015"/>
                  <wp:effectExtent l="0" t="0" r="0" b="635"/>
                  <wp:wrapNone/>
                  <wp:docPr id="98" name="Picture 98">
                    <a:extLst xmlns:a="http://schemas.openxmlformats.org/drawingml/2006/main">
                      <a:ext uri="{FF2B5EF4-FFF2-40B4-BE49-F238E27FC236}">
                        <a16:creationId xmlns:a16="http://schemas.microsoft.com/office/drawing/2014/main" id="{EAF8F7B4-EA8E-4213-BE2F-6EBB28FD0EF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AF8F7B4-EA8E-4213-BE2F-6EBB28FD0EF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910" cy="1009015"/>
                          </a:xfrm>
                          <a:prstGeom prst="rect">
                            <a:avLst/>
                          </a:prstGeom>
                        </pic:spPr>
                      </pic:pic>
                    </a:graphicData>
                  </a:graphic>
                </wp:anchor>
              </w:drawing>
            </w:r>
          </w:p>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Current Biology</w:t>
            </w:r>
            <w:r w:rsidRPr="000F40A3">
              <w:rPr>
                <w:rFonts w:ascii="微软雅黑" w:eastAsia="微软雅黑" w:hAnsi="微软雅黑" w:cs="微软雅黑"/>
                <w:color w:val="000000"/>
                <w:sz w:val="20"/>
                <w:szCs w:val="20"/>
              </w:rPr>
              <w:t>因其独特的重要研究论文和生动的评论而受到生命科学家的广泛重视。期刊双周出版，发表涉及从分子生物学到进化的主要研究内容。期刊也提供了由顶尖专家对最新进展的评论，以及有价值的长篇评论和杂志板块，包括新闻、分析和观点、领先的科学家和机构的概况。</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Structure</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0969-2126</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4.16</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4.576</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1993</w:t>
            </w:r>
          </w:p>
        </w:tc>
      </w:tr>
      <w:tr w:rsidR="000F40A3" w:rsidRPr="000F40A3" w:rsidTr="009711B7">
        <w:trPr>
          <w:trHeight w:val="2381"/>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62336" behindDoc="0" locked="0" layoutInCell="1" allowOverlap="1">
                  <wp:simplePos x="0" y="0"/>
                  <wp:positionH relativeFrom="column">
                    <wp:posOffset>7620</wp:posOffset>
                  </wp:positionH>
                  <wp:positionV relativeFrom="paragraph">
                    <wp:posOffset>1270</wp:posOffset>
                  </wp:positionV>
                  <wp:extent cx="803910" cy="1017270"/>
                  <wp:effectExtent l="0" t="0" r="0" b="0"/>
                  <wp:wrapNone/>
                  <wp:docPr id="97" name="Picture 97">
                    <a:extLst xmlns:a="http://schemas.openxmlformats.org/drawingml/2006/main">
                      <a:ext uri="{FF2B5EF4-FFF2-40B4-BE49-F238E27FC236}">
                        <a16:creationId xmlns:a16="http://schemas.microsoft.com/office/drawing/2014/main" id="{EFA81D14-9AF5-45B8-B272-1AE26288D4AC}"/>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FA81D14-9AF5-45B8-B272-1AE26288D4A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1017270"/>
                          </a:xfrm>
                          <a:prstGeom prst="rect">
                            <a:avLst/>
                          </a:prstGeom>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135"/>
            </w:tblGrid>
            <w:tr w:rsidR="000F40A3" w:rsidRPr="000F40A3" w:rsidTr="009D4582">
              <w:trPr>
                <w:trHeight w:val="1149"/>
                <w:tblCellSpacing w:w="0" w:type="dxa"/>
              </w:trPr>
              <w:tc>
                <w:tcPr>
                  <w:tcW w:w="1135" w:type="dxa"/>
                  <w:tcBorders>
                    <w:top w:val="nil"/>
                    <w:left w:val="nil"/>
                    <w:bottom w:val="nil"/>
                    <w:right w:val="nil"/>
                  </w:tcBorders>
                  <w:shd w:val="clear" w:color="auto" w:fill="auto"/>
                  <w:noWrap/>
                  <w:vAlign w:val="bottom"/>
                  <w:hideMark/>
                </w:tcPr>
                <w:p w:rsidR="000F40A3" w:rsidRPr="000F40A3" w:rsidRDefault="000F40A3" w:rsidP="009D4582">
                  <w:pPr>
                    <w:spacing w:after="0" w:line="240" w:lineRule="auto"/>
                    <w:rPr>
                      <w:rFonts w:ascii="Calibri" w:eastAsia="Times New Roman" w:hAnsi="Calibri" w:cs="Calibri"/>
                      <w:color w:val="000000"/>
                    </w:rPr>
                  </w:pP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Structure</w:t>
            </w:r>
            <w:r w:rsidRPr="000F40A3">
              <w:rPr>
                <w:rFonts w:ascii="微软雅黑" w:eastAsia="微软雅黑" w:hAnsi="微软雅黑" w:cs="微软雅黑"/>
                <w:color w:val="000000"/>
                <w:sz w:val="20"/>
                <w:szCs w:val="20"/>
              </w:rPr>
              <w:t>是一本专注于结构生物学领域的期刊，努力发展成为结构生物学家、生物学家和生物化学家对的重要读物。研究范围包括在结构生物学中解决基本问题的研究，如基于结构的蛋白质进化、折叠和</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或设计的检查。</w:t>
            </w:r>
            <w:r w:rsidRPr="000F40A3">
              <w:rPr>
                <w:rFonts w:ascii="Arial" w:eastAsia="Times New Roman" w:hAnsi="Arial" w:cs="Arial"/>
                <w:color w:val="000000"/>
                <w:sz w:val="20"/>
                <w:szCs w:val="20"/>
              </w:rPr>
              <w:t xml:space="preserve"> </w:t>
            </w:r>
            <w:r w:rsidRPr="000F40A3">
              <w:rPr>
                <w:rFonts w:ascii="微软雅黑" w:eastAsia="微软雅黑" w:hAnsi="微软雅黑" w:cs="微软雅黑"/>
                <w:color w:val="000000"/>
                <w:sz w:val="20"/>
                <w:szCs w:val="20"/>
              </w:rPr>
              <w:t>期刊考虑任何方法、实验或计算的应用，在高或低分辨率下进行结构调查，只要该方法适用于生物、功能问题的处理。</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Immunity</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1074-7613</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15.82</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21.522</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1994</w:t>
            </w:r>
          </w:p>
        </w:tc>
      </w:tr>
      <w:tr w:rsidR="000F40A3" w:rsidRPr="000F40A3" w:rsidTr="004174CD">
        <w:trPr>
          <w:trHeight w:val="209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lastRenderedPageBreak/>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90575" cy="1038225"/>
                  <wp:effectExtent l="0" t="0" r="9525" b="0"/>
                  <wp:wrapNone/>
                  <wp:docPr id="96" name="Picture 96">
                    <a:extLst xmlns:a="http://schemas.openxmlformats.org/drawingml/2006/main">
                      <a:ext uri="{FF2B5EF4-FFF2-40B4-BE49-F238E27FC236}">
                        <a16:creationId xmlns:a16="http://schemas.microsoft.com/office/drawing/2014/main" id="{C7896B06-16D7-40DB-8A49-99C5CC183D89}"/>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7896B06-16D7-40DB-8A49-99C5CC183D8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5057" cy="1033170"/>
                          </a:xfrm>
                          <a:prstGeom prst="rect">
                            <a:avLst/>
                          </a:prstGeom>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163"/>
            </w:tblGrid>
            <w:tr w:rsidR="000F40A3" w:rsidRPr="000F40A3" w:rsidTr="00231A13">
              <w:trPr>
                <w:trHeight w:val="1328"/>
                <w:tblCellSpacing w:w="0" w:type="dxa"/>
              </w:trPr>
              <w:tc>
                <w:tcPr>
                  <w:tcW w:w="1163" w:type="dxa"/>
                  <w:tcBorders>
                    <w:top w:val="nil"/>
                    <w:left w:val="nil"/>
                    <w:bottom w:val="nil"/>
                    <w:right w:val="nil"/>
                  </w:tcBorders>
                  <w:shd w:val="clear" w:color="auto" w:fill="auto"/>
                  <w:noWrap/>
                  <w:vAlign w:val="bottom"/>
                  <w:hideMark/>
                </w:tcPr>
                <w:p w:rsidR="000F40A3" w:rsidRPr="000F40A3" w:rsidRDefault="000F40A3" w:rsidP="009D4582">
                  <w:pPr>
                    <w:spacing w:after="0" w:line="240" w:lineRule="auto"/>
                    <w:rPr>
                      <w:rFonts w:ascii="Calibri" w:eastAsia="Times New Roman" w:hAnsi="Calibri" w:cs="Calibri"/>
                      <w:color w:val="000000"/>
                    </w:rPr>
                  </w:pP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Immunity</w:t>
            </w:r>
            <w:r w:rsidRPr="000F40A3">
              <w:rPr>
                <w:rFonts w:ascii="微软雅黑" w:eastAsia="微软雅黑" w:hAnsi="微软雅黑" w:cs="微软雅黑"/>
                <w:color w:val="000000"/>
                <w:sz w:val="20"/>
                <w:szCs w:val="20"/>
              </w:rPr>
              <w:t>是一个月刊，发表研究性文章及对整个免疫学学科的一般主题类综述。</w:t>
            </w:r>
            <w:r w:rsidRPr="000F40A3">
              <w:rPr>
                <w:rFonts w:ascii="Arial" w:eastAsia="Times New Roman" w:hAnsi="Arial" w:cs="Arial"/>
                <w:color w:val="000000"/>
                <w:sz w:val="20"/>
                <w:szCs w:val="20"/>
              </w:rPr>
              <w:br/>
              <w:t>Immunity</w:t>
            </w:r>
            <w:r w:rsidRPr="000F40A3">
              <w:rPr>
                <w:rFonts w:ascii="微软雅黑" w:eastAsia="微软雅黑" w:hAnsi="微软雅黑" w:cs="微软雅黑"/>
                <w:color w:val="000000"/>
                <w:sz w:val="20"/>
                <w:szCs w:val="20"/>
              </w:rPr>
              <w:t>是建立在分子和细胞免疫学的基础上，对免疫主题的研究并不局限于任何特定的分析水平或任何特定类型的系统，包括所有对机体免疫系统产生影响的系统，以及与免疫系统相互作用的所有系统。通常被接受的文章将在十周内发表。</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Molecular Cell</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1097-2765</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12.08</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14.548</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1997</w:t>
            </w:r>
          </w:p>
        </w:tc>
      </w:tr>
      <w:tr w:rsidR="000F40A3" w:rsidRPr="000F40A3" w:rsidTr="004174CD">
        <w:trPr>
          <w:trHeight w:val="209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62000" cy="990600"/>
                  <wp:effectExtent l="0" t="0" r="0" b="0"/>
                  <wp:wrapNone/>
                  <wp:docPr id="95" name="Picture 95">
                    <a:extLst xmlns:a="http://schemas.openxmlformats.org/drawingml/2006/main">
                      <a:ext uri="{FF2B5EF4-FFF2-40B4-BE49-F238E27FC236}">
                        <a16:creationId xmlns:a16="http://schemas.microsoft.com/office/drawing/2014/main" id="{01638A4E-17F6-4082-9130-F30B990CC288}"/>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1638A4E-17F6-4082-9130-F30B990CC28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990213"/>
                          </a:xfrm>
                          <a:prstGeom prst="rect">
                            <a:avLst/>
                          </a:prstGeom>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190"/>
            </w:tblGrid>
            <w:tr w:rsidR="000F40A3" w:rsidRPr="000F40A3" w:rsidTr="00231A13">
              <w:trPr>
                <w:trHeight w:val="1273"/>
                <w:tblCellSpacing w:w="0" w:type="dxa"/>
              </w:trPr>
              <w:tc>
                <w:tcPr>
                  <w:tcW w:w="1190" w:type="dxa"/>
                  <w:tcBorders>
                    <w:top w:val="nil"/>
                    <w:left w:val="nil"/>
                    <w:bottom w:val="nil"/>
                    <w:right w:val="nil"/>
                  </w:tcBorders>
                  <w:shd w:val="clear" w:color="auto" w:fill="auto"/>
                  <w:noWrap/>
                  <w:vAlign w:val="bottom"/>
                  <w:hideMark/>
                </w:tcPr>
                <w:p w:rsidR="000F40A3" w:rsidRPr="000F40A3" w:rsidRDefault="000F40A3" w:rsidP="009D4582">
                  <w:pPr>
                    <w:spacing w:after="0" w:line="240" w:lineRule="auto"/>
                    <w:rPr>
                      <w:rFonts w:ascii="Calibri" w:eastAsia="Times New Roman" w:hAnsi="Calibri" w:cs="Calibri"/>
                      <w:color w:val="000000"/>
                    </w:rPr>
                  </w:pP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Molecular Cell</w:t>
            </w:r>
            <w:r w:rsidRPr="000F40A3">
              <w:rPr>
                <w:rFonts w:ascii="微软雅黑" w:eastAsia="微软雅黑" w:hAnsi="微软雅黑" w:cs="微软雅黑"/>
                <w:color w:val="000000"/>
                <w:sz w:val="20"/>
                <w:szCs w:val="20"/>
              </w:rPr>
              <w:t>是生物学界高影响力的期刊之一。期刊自发表以来每月出版，</w:t>
            </w:r>
            <w:r w:rsidRPr="000F40A3">
              <w:rPr>
                <w:rFonts w:ascii="Arial" w:eastAsia="Times New Roman" w:hAnsi="Arial" w:cs="Arial"/>
                <w:color w:val="000000"/>
                <w:sz w:val="20"/>
                <w:szCs w:val="20"/>
              </w:rPr>
              <w:t xml:space="preserve"> Molecular Cell</w:t>
            </w:r>
            <w:r w:rsidRPr="000F40A3">
              <w:rPr>
                <w:rFonts w:ascii="微软雅黑" w:eastAsia="微软雅黑" w:hAnsi="微软雅黑" w:cs="微软雅黑"/>
                <w:color w:val="000000"/>
                <w:sz w:val="20"/>
                <w:szCs w:val="20"/>
              </w:rPr>
              <w:t>的领域从结构扩展到人类疾病，集中在分子分析上。期刊关系的最主要问题包括基因表达、</w:t>
            </w:r>
            <w:r w:rsidRPr="000F40A3">
              <w:rPr>
                <w:rFonts w:ascii="Arial" w:eastAsia="Times New Roman" w:hAnsi="Arial" w:cs="Arial"/>
                <w:color w:val="000000"/>
                <w:sz w:val="20"/>
                <w:szCs w:val="20"/>
              </w:rPr>
              <w:t>RNA</w:t>
            </w:r>
            <w:r w:rsidRPr="000F40A3">
              <w:rPr>
                <w:rFonts w:ascii="微软雅黑" w:eastAsia="微软雅黑" w:hAnsi="微软雅黑" w:cs="微软雅黑"/>
                <w:color w:val="000000"/>
                <w:sz w:val="20"/>
                <w:szCs w:val="20"/>
              </w:rPr>
              <w:t>处理、复制、重组和修复、结构、伴随物、受体、信号转导、细胞周期和肿瘤发生。</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231A13" w:rsidP="009D4582">
            <w:pPr>
              <w:rPr>
                <w:rFonts w:ascii="Calibri" w:eastAsia="Times New Roman" w:hAnsi="Calibri" w:cs="Calibri"/>
                <w:color w:val="000000"/>
              </w:rPr>
            </w:pPr>
            <w:r>
              <w:rPr>
                <w:rFonts w:ascii="Calibri" w:eastAsia="Times New Roman" w:hAnsi="Calibri" w:cs="Calibri"/>
                <w:color w:val="000000"/>
              </w:rPr>
              <w:t>AJHG</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0002-9297</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8171FE"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8.34</w:t>
            </w:r>
            <w:r w:rsidR="000F40A3" w:rsidRPr="000F40A3">
              <w:rPr>
                <w:rFonts w:ascii="Calibri" w:eastAsia="Times New Roman" w:hAnsi="Calibri" w:cs="Calibri"/>
                <w:color w:val="000000"/>
              </w:rPr>
              <w:t> </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 </w:t>
            </w:r>
            <w:r w:rsidR="008171FE" w:rsidRPr="008171FE">
              <w:rPr>
                <w:rFonts w:ascii="Calibri" w:eastAsia="Times New Roman" w:hAnsi="Calibri" w:cs="Calibri"/>
                <w:color w:val="000000"/>
              </w:rPr>
              <w:t>9.92</w:t>
            </w:r>
            <w:r w:rsidR="008171FE">
              <w:rPr>
                <w:rFonts w:ascii="Calibri" w:eastAsia="Times New Roman" w:hAnsi="Calibri" w:cs="Calibri"/>
                <w:color w:val="000000"/>
              </w:rPr>
              <w:t>4</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1997</w:t>
            </w:r>
          </w:p>
        </w:tc>
      </w:tr>
      <w:tr w:rsidR="000F40A3" w:rsidRPr="000F40A3" w:rsidTr="004174CD">
        <w:trPr>
          <w:trHeight w:val="209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65408" behindDoc="0" locked="0" layoutInCell="1" allowOverlap="1">
                  <wp:simplePos x="0" y="0"/>
                  <wp:positionH relativeFrom="column">
                    <wp:posOffset>0</wp:posOffset>
                  </wp:positionH>
                  <wp:positionV relativeFrom="paragraph">
                    <wp:posOffset>9525</wp:posOffset>
                  </wp:positionV>
                  <wp:extent cx="800100" cy="1047750"/>
                  <wp:effectExtent l="0" t="0" r="0" b="0"/>
                  <wp:wrapNone/>
                  <wp:docPr id="94" name="Picture 94">
                    <a:extLst xmlns:a="http://schemas.openxmlformats.org/drawingml/2006/main">
                      <a:ext uri="{FF2B5EF4-FFF2-40B4-BE49-F238E27FC236}">
                        <a16:creationId xmlns:a16="http://schemas.microsoft.com/office/drawing/2014/main" id="{5AD82533-379A-4CC8-8CB6-174771368BB5}"/>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5AD82533-379A-4CC8-8CB6-174771368BB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1353" cy="1045243"/>
                          </a:xfrm>
                          <a:prstGeom prst="rect">
                            <a:avLst/>
                          </a:prstGeom>
                        </pic:spPr>
                      </pic:pic>
                    </a:graphicData>
                  </a:graphic>
                </wp:anchor>
              </w:drawing>
            </w:r>
          </w:p>
          <w:tbl>
            <w:tblPr>
              <w:tblW w:w="1258" w:type="dxa"/>
              <w:tblCellSpacing w:w="0" w:type="dxa"/>
              <w:tblLayout w:type="fixed"/>
              <w:tblCellMar>
                <w:left w:w="0" w:type="dxa"/>
                <w:right w:w="0" w:type="dxa"/>
              </w:tblCellMar>
              <w:tblLook w:val="04A0" w:firstRow="1" w:lastRow="0" w:firstColumn="1" w:lastColumn="0" w:noHBand="0" w:noVBand="1"/>
            </w:tblPr>
            <w:tblGrid>
              <w:gridCol w:w="1258"/>
            </w:tblGrid>
            <w:tr w:rsidR="000F40A3" w:rsidRPr="000F40A3" w:rsidTr="00231A13">
              <w:trPr>
                <w:trHeight w:val="1396"/>
                <w:tblCellSpacing w:w="0" w:type="dxa"/>
              </w:trPr>
              <w:tc>
                <w:tcPr>
                  <w:tcW w:w="1258" w:type="dxa"/>
                  <w:tcBorders>
                    <w:top w:val="nil"/>
                    <w:left w:val="nil"/>
                    <w:bottom w:val="nil"/>
                    <w:right w:val="nil"/>
                  </w:tcBorders>
                  <w:shd w:val="clear" w:color="auto" w:fill="auto"/>
                  <w:noWrap/>
                  <w:vAlign w:val="bottom"/>
                  <w:hideMark/>
                </w:tcPr>
                <w:p w:rsidR="000F40A3" w:rsidRPr="000F40A3" w:rsidRDefault="000F40A3" w:rsidP="009D4582">
                  <w:pPr>
                    <w:spacing w:after="0" w:line="240" w:lineRule="auto"/>
                    <w:rPr>
                      <w:rFonts w:ascii="Calibri" w:eastAsia="Times New Roman" w:hAnsi="Calibri" w:cs="Calibri"/>
                      <w:color w:val="000000"/>
                    </w:rPr>
                  </w:pP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The American Journal of Human Genetics</w:t>
            </w:r>
            <w:r w:rsidRPr="000F40A3">
              <w:rPr>
                <w:rFonts w:ascii="微软雅黑" w:eastAsia="微软雅黑" w:hAnsi="微软雅黑" w:cs="微软雅黑"/>
                <w:color w:val="000000"/>
                <w:sz w:val="20"/>
                <w:szCs w:val="20"/>
              </w:rPr>
              <w:t>是</w:t>
            </w:r>
            <w:r w:rsidRPr="000F40A3">
              <w:rPr>
                <w:rFonts w:ascii="Arial" w:eastAsia="Times New Roman" w:hAnsi="Arial" w:cs="Arial"/>
                <w:color w:val="000000"/>
                <w:sz w:val="20"/>
                <w:szCs w:val="20"/>
              </w:rPr>
              <w:t>Cell press</w:t>
            </w:r>
            <w:r w:rsidRPr="000F40A3">
              <w:rPr>
                <w:rFonts w:ascii="微软雅黑" w:eastAsia="微软雅黑" w:hAnsi="微软雅黑" w:cs="微软雅黑"/>
                <w:color w:val="000000"/>
                <w:sz w:val="20"/>
                <w:szCs w:val="20"/>
              </w:rPr>
              <w:t>与美国人类遗传学会</w:t>
            </w:r>
            <w:r w:rsidRPr="000F40A3">
              <w:rPr>
                <w:rFonts w:ascii="Arial" w:eastAsia="Times New Roman" w:hAnsi="Arial" w:cs="Arial"/>
                <w:color w:val="000000"/>
                <w:sz w:val="20"/>
                <w:szCs w:val="20"/>
              </w:rPr>
              <w:t>(ASHG)</w:t>
            </w:r>
            <w:r w:rsidRPr="000F40A3">
              <w:rPr>
                <w:rFonts w:ascii="微软雅黑" w:eastAsia="微软雅黑" w:hAnsi="微软雅黑" w:cs="微软雅黑"/>
                <w:color w:val="000000"/>
                <w:sz w:val="20"/>
                <w:szCs w:val="20"/>
              </w:rPr>
              <w:t>合作出版的期刊，关注在结构生物学中解决基本问题的研究，如基于结构的蛋白质进化、折叠和</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或设计的检查。</w:t>
            </w:r>
            <w:r w:rsidRPr="000F40A3">
              <w:rPr>
                <w:rFonts w:ascii="Arial" w:eastAsia="Times New Roman" w:hAnsi="Arial" w:cs="Arial"/>
                <w:color w:val="000000"/>
                <w:sz w:val="20"/>
                <w:szCs w:val="20"/>
              </w:rPr>
              <w:t xml:space="preserve"> </w:t>
            </w:r>
            <w:r w:rsidRPr="000F40A3">
              <w:rPr>
                <w:rFonts w:ascii="微软雅黑" w:eastAsia="微软雅黑" w:hAnsi="微软雅黑" w:cs="微软雅黑"/>
                <w:color w:val="000000"/>
                <w:sz w:val="20"/>
                <w:szCs w:val="20"/>
              </w:rPr>
              <w:t>期刊考虑任何方法、实验或计算的应用，在高或低分辨率下进行结构调查，只要该方法适用于生物、功能问题的处理期刊均可接收发表。</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sz w:val="18"/>
              </w:rPr>
              <w:t>Developmental Cell</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1534-5807</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6.78</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9.19</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2001</w:t>
            </w:r>
          </w:p>
        </w:tc>
      </w:tr>
      <w:tr w:rsidR="000F40A3" w:rsidRPr="000F40A3" w:rsidTr="004174CD">
        <w:trPr>
          <w:trHeight w:val="209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1204"/>
            </w:tblGrid>
            <w:tr w:rsidR="000F40A3" w:rsidRPr="000F40A3" w:rsidTr="00231A13">
              <w:trPr>
                <w:trHeight w:val="1383"/>
                <w:tblCellSpacing w:w="0" w:type="dxa"/>
              </w:trPr>
              <w:tc>
                <w:tcPr>
                  <w:tcW w:w="1204" w:type="dxa"/>
                  <w:tcBorders>
                    <w:top w:val="nil"/>
                    <w:left w:val="nil"/>
                    <w:bottom w:val="nil"/>
                    <w:right w:val="nil"/>
                  </w:tcBorders>
                  <w:shd w:val="clear" w:color="auto" w:fill="auto"/>
                  <w:noWrap/>
                  <w:vAlign w:val="bottom"/>
                  <w:hideMark/>
                </w:tcPr>
                <w:p w:rsidR="000F40A3" w:rsidRPr="000F40A3" w:rsidRDefault="00231A13" w:rsidP="009D4582">
                  <w:pPr>
                    <w:spacing w:after="0" w:line="240" w:lineRule="auto"/>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66432" behindDoc="0" locked="0" layoutInCell="1" allowOverlap="1">
                        <wp:simplePos x="0" y="0"/>
                        <wp:positionH relativeFrom="column">
                          <wp:posOffset>-13970</wp:posOffset>
                        </wp:positionH>
                        <wp:positionV relativeFrom="paragraph">
                          <wp:posOffset>-426720</wp:posOffset>
                        </wp:positionV>
                        <wp:extent cx="819150" cy="1060450"/>
                        <wp:effectExtent l="0" t="0" r="0" b="6350"/>
                        <wp:wrapNone/>
                        <wp:docPr id="93" name="Picture 93">
                          <a:extLst xmlns:a="http://schemas.openxmlformats.org/drawingml/2006/main">
                            <a:ext uri="{FF2B5EF4-FFF2-40B4-BE49-F238E27FC236}">
                              <a16:creationId xmlns:a16="http://schemas.microsoft.com/office/drawing/2014/main" id="{849B90E1-6BC4-4E5D-925A-D0B0AC0DE2A1}"/>
                            </a:ext>
                          </a:extLst>
                        </wp:docPr>
                        <wp:cNvGraphicFramePr/>
                        <a:graphic xmlns:a="http://schemas.openxmlformats.org/drawingml/2006/main">
                          <a:graphicData uri="http://schemas.openxmlformats.org/drawingml/2006/picture">
                            <pic:pic xmlns:pic="http://schemas.openxmlformats.org/drawingml/2006/picture">
                              <pic:nvPicPr>
                                <pic:cNvPr id="11" name="Content Placeholder 4">
                                  <a:extLst>
                                    <a:ext uri="{FF2B5EF4-FFF2-40B4-BE49-F238E27FC236}">
                                      <a16:creationId xmlns:a16="http://schemas.microsoft.com/office/drawing/2014/main" id="{849B90E1-6BC4-4E5D-925A-D0B0AC0DE2A1}"/>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9150" cy="1060450"/>
                                </a:xfrm>
                                <a:prstGeom prst="rect">
                                  <a:avLst/>
                                </a:prstGeom>
                              </pic:spPr>
                            </pic:pic>
                          </a:graphicData>
                        </a:graphic>
                      </wp:anchor>
                    </w:drawing>
                  </w: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Developmental Cell</w:t>
            </w:r>
            <w:r w:rsidRPr="000F40A3">
              <w:rPr>
                <w:rFonts w:ascii="微软雅黑" w:eastAsia="微软雅黑" w:hAnsi="微软雅黑" w:cs="微软雅黑"/>
                <w:color w:val="000000"/>
                <w:sz w:val="20"/>
                <w:szCs w:val="20"/>
              </w:rPr>
              <w:t>是一本涵盖细胞生物学和发育生物学领域的广谱期刊。它发表研究报告，描述</w:t>
            </w:r>
            <w:r w:rsidR="00231A13">
              <w:rPr>
                <w:rFonts w:ascii="微软雅黑" w:eastAsia="微软雅黑" w:hAnsi="微软雅黑" w:cs="微软雅黑" w:hint="eastAsia"/>
                <w:color w:val="000000"/>
                <w:sz w:val="20"/>
                <w:szCs w:val="20"/>
              </w:rPr>
              <w:t>这</w:t>
            </w:r>
            <w:r w:rsidRPr="000F40A3">
              <w:rPr>
                <w:rFonts w:ascii="微软雅黑" w:eastAsia="微软雅黑" w:hAnsi="微软雅黑" w:cs="微软雅黑"/>
                <w:color w:val="000000"/>
                <w:sz w:val="20"/>
                <w:szCs w:val="20"/>
              </w:rPr>
              <w:t>两个领域及它们之间意义等。每个关注的问题都包含针对期刊广大读者的评论文章。</w:t>
            </w:r>
            <w:r w:rsidRPr="000F40A3">
              <w:rPr>
                <w:rFonts w:ascii="Arial" w:eastAsia="Times New Roman" w:hAnsi="Arial" w:cs="Arial"/>
                <w:color w:val="000000"/>
                <w:sz w:val="20"/>
                <w:szCs w:val="20"/>
              </w:rPr>
              <w:br/>
            </w:r>
            <w:r w:rsidRPr="000F40A3">
              <w:rPr>
                <w:rFonts w:ascii="微软雅黑" w:eastAsia="微软雅黑" w:hAnsi="微软雅黑" w:cs="微软雅黑"/>
                <w:color w:val="000000"/>
                <w:sz w:val="20"/>
                <w:szCs w:val="20"/>
              </w:rPr>
              <w:t>期刊领域考虑在细胞生物学和发育生物学的领域的论文。</w:t>
            </w:r>
            <w:r w:rsidRPr="000F40A3">
              <w:rPr>
                <w:rFonts w:ascii="Arial" w:eastAsia="Times New Roman" w:hAnsi="Arial" w:cs="Arial"/>
                <w:color w:val="000000"/>
                <w:sz w:val="20"/>
                <w:szCs w:val="20"/>
              </w:rPr>
              <w:t xml:space="preserve"> </w:t>
            </w:r>
            <w:r w:rsidRPr="000F40A3">
              <w:rPr>
                <w:rFonts w:ascii="微软雅黑" w:eastAsia="微软雅黑" w:hAnsi="微软雅黑" w:cs="微软雅黑"/>
                <w:color w:val="000000"/>
                <w:sz w:val="20"/>
                <w:szCs w:val="20"/>
              </w:rPr>
              <w:t>这些例子包括细胞增殖、细胞内定位、细胞极性、细胞膜交通、细胞迁移、干细胞生物学、形态形成、基因或通路的发育作用和分化。</w:t>
            </w:r>
            <w:r w:rsidRPr="000F40A3">
              <w:rPr>
                <w:rFonts w:ascii="Arial" w:eastAsia="Times New Roman" w:hAnsi="Arial" w:cs="Arial"/>
                <w:color w:val="000000"/>
                <w:sz w:val="20"/>
                <w:szCs w:val="20"/>
              </w:rPr>
              <w:t xml:space="preserve"> </w:t>
            </w:r>
            <w:r w:rsidRPr="000F40A3">
              <w:rPr>
                <w:rFonts w:ascii="微软雅黑" w:eastAsia="微软雅黑" w:hAnsi="微软雅黑" w:cs="微软雅黑"/>
                <w:color w:val="000000"/>
                <w:sz w:val="20"/>
                <w:szCs w:val="20"/>
              </w:rPr>
              <w:t>期刊乐于考虑任何能带来生物学功能重要新结论的研究</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Cancer Cell</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1535-6108</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15.45</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23.916</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2002</w:t>
            </w:r>
          </w:p>
        </w:tc>
      </w:tr>
      <w:tr w:rsidR="000F40A3" w:rsidRPr="000F40A3" w:rsidTr="004174CD">
        <w:trPr>
          <w:trHeight w:val="209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67456" behindDoc="0" locked="0" layoutInCell="1" allowOverlap="1">
                  <wp:simplePos x="0" y="0"/>
                  <wp:positionH relativeFrom="column">
                    <wp:posOffset>5080</wp:posOffset>
                  </wp:positionH>
                  <wp:positionV relativeFrom="paragraph">
                    <wp:posOffset>3810</wp:posOffset>
                  </wp:positionV>
                  <wp:extent cx="801370" cy="1086485"/>
                  <wp:effectExtent l="0" t="0" r="0" b="0"/>
                  <wp:wrapNone/>
                  <wp:docPr id="92" name="Picture 92">
                    <a:extLst xmlns:a="http://schemas.openxmlformats.org/drawingml/2006/main">
                      <a:ext uri="{FF2B5EF4-FFF2-40B4-BE49-F238E27FC236}">
                        <a16:creationId xmlns:a16="http://schemas.microsoft.com/office/drawing/2014/main" id="{16470B5F-4E3E-4D99-A5A9-FD7FAE7EC5EF}"/>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16470B5F-4E3E-4D99-A5A9-FD7FAE7EC5E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1370" cy="1086485"/>
                          </a:xfrm>
                          <a:prstGeom prst="rect">
                            <a:avLst/>
                          </a:prstGeom>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135"/>
            </w:tblGrid>
            <w:tr w:rsidR="000F40A3" w:rsidRPr="000F40A3" w:rsidTr="007F20D7">
              <w:trPr>
                <w:trHeight w:val="1383"/>
                <w:tblCellSpacing w:w="0" w:type="dxa"/>
              </w:trPr>
              <w:tc>
                <w:tcPr>
                  <w:tcW w:w="1135" w:type="dxa"/>
                  <w:tcBorders>
                    <w:top w:val="nil"/>
                    <w:left w:val="nil"/>
                    <w:bottom w:val="nil"/>
                    <w:right w:val="nil"/>
                  </w:tcBorders>
                  <w:shd w:val="clear" w:color="auto" w:fill="auto"/>
                  <w:noWrap/>
                  <w:vAlign w:val="bottom"/>
                  <w:hideMark/>
                </w:tcPr>
                <w:p w:rsidR="000F40A3" w:rsidRPr="000F40A3" w:rsidRDefault="000F40A3" w:rsidP="009D4582">
                  <w:pPr>
                    <w:spacing w:after="0" w:line="240" w:lineRule="auto"/>
                    <w:rPr>
                      <w:rFonts w:ascii="Calibri" w:eastAsia="Times New Roman" w:hAnsi="Calibri" w:cs="Calibri"/>
                      <w:color w:val="000000"/>
                    </w:rPr>
                  </w:pP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7F20D7" w:rsidRDefault="000F40A3" w:rsidP="009D4582">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 w:val="20"/>
                <w:szCs w:val="20"/>
              </w:rPr>
            </w:pPr>
            <w:r w:rsidRPr="000F40A3">
              <w:rPr>
                <w:rFonts w:ascii="Arial" w:eastAsia="Times New Roman" w:hAnsi="Arial" w:cs="Arial"/>
                <w:color w:val="000000"/>
                <w:sz w:val="20"/>
                <w:szCs w:val="20"/>
              </w:rPr>
              <w:t>Cancer Cell</w:t>
            </w:r>
            <w:r w:rsidRPr="000F40A3">
              <w:rPr>
                <w:rFonts w:ascii="微软雅黑" w:eastAsia="微软雅黑" w:hAnsi="微软雅黑" w:cs="微软雅黑"/>
                <w:color w:val="000000"/>
                <w:sz w:val="20"/>
                <w:szCs w:val="20"/>
              </w:rPr>
              <w:t>期刊发表癌症研究领域的内容，从分子和细胞生物学到临床肿瘤学。此外，期刊也报道癌症研究、诊断和治疗方面的发现。</w:t>
            </w:r>
          </w:p>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微软雅黑" w:eastAsia="微软雅黑" w:hAnsi="微软雅黑" w:cs="微软雅黑"/>
                <w:color w:val="000000"/>
                <w:sz w:val="20"/>
                <w:szCs w:val="20"/>
              </w:rPr>
              <w:t>期刊关注癌症生物学和临床研究方面的论文</w:t>
            </w:r>
            <w:r w:rsidR="007F20D7">
              <w:rPr>
                <w:rFonts w:ascii="微软雅黑" w:eastAsia="微软雅黑" w:hAnsi="微软雅黑" w:cs="微软雅黑" w:hint="eastAsia"/>
                <w:color w:val="000000"/>
                <w:sz w:val="20"/>
                <w:szCs w:val="20"/>
              </w:rPr>
              <w:t>，</w:t>
            </w:r>
            <w:r w:rsidRPr="000F40A3">
              <w:rPr>
                <w:rFonts w:ascii="微软雅黑" w:eastAsia="微软雅黑" w:hAnsi="微软雅黑" w:cs="微软雅黑"/>
                <w:color w:val="000000"/>
                <w:sz w:val="20"/>
                <w:szCs w:val="20"/>
              </w:rPr>
              <w:t>包括</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但不限于</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遗传学、表观遗传学、基因组不稳定性、细胞信号和通信、细胞周期、</w:t>
            </w:r>
            <w:r w:rsidRPr="000F40A3">
              <w:rPr>
                <w:rFonts w:ascii="Arial" w:eastAsia="Times New Roman" w:hAnsi="Arial" w:cs="Arial"/>
                <w:color w:val="000000"/>
                <w:sz w:val="20"/>
                <w:szCs w:val="20"/>
              </w:rPr>
              <w:t>DNA</w:t>
            </w:r>
            <w:r w:rsidRPr="000F40A3">
              <w:rPr>
                <w:rFonts w:ascii="微软雅黑" w:eastAsia="微软雅黑" w:hAnsi="微软雅黑" w:cs="微软雅黑"/>
                <w:color w:val="000000"/>
                <w:sz w:val="20"/>
                <w:szCs w:val="20"/>
              </w:rPr>
              <w:t>修复、诊断</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分子分析、药物基因组学</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、血管生成细胞凋亡、端粒酶和转换转移、动物模型、癌症治疗</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理性药物设计</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小分子疗法</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、流行病学和预防。</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Cell Metabolism</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1550-4131</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13.45</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22.415</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2005</w:t>
            </w:r>
          </w:p>
        </w:tc>
      </w:tr>
      <w:tr w:rsidR="000F40A3" w:rsidRPr="000F40A3" w:rsidTr="009711B7">
        <w:trPr>
          <w:trHeight w:val="209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1300"/>
            </w:tblGrid>
            <w:tr w:rsidR="000F40A3" w:rsidRPr="000F40A3" w:rsidTr="000F40A3">
              <w:trPr>
                <w:trHeight w:val="1602"/>
                <w:tblCellSpacing w:w="0" w:type="dxa"/>
              </w:trPr>
              <w:tc>
                <w:tcPr>
                  <w:tcW w:w="1300" w:type="dxa"/>
                  <w:tcBorders>
                    <w:top w:val="nil"/>
                    <w:left w:val="nil"/>
                    <w:bottom w:val="nil"/>
                    <w:right w:val="nil"/>
                  </w:tcBorders>
                  <w:shd w:val="clear" w:color="auto" w:fill="auto"/>
                  <w:noWrap/>
                  <w:vAlign w:val="bottom"/>
                  <w:hideMark/>
                </w:tcPr>
                <w:p w:rsidR="000F40A3" w:rsidRPr="000F40A3" w:rsidRDefault="008D5E4D" w:rsidP="009D4582">
                  <w:pPr>
                    <w:spacing w:after="0" w:line="240" w:lineRule="auto"/>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68480" behindDoc="0" locked="0" layoutInCell="1" allowOverlap="1">
                        <wp:simplePos x="0" y="0"/>
                        <wp:positionH relativeFrom="column">
                          <wp:posOffset>-3175</wp:posOffset>
                        </wp:positionH>
                        <wp:positionV relativeFrom="paragraph">
                          <wp:posOffset>-1177290</wp:posOffset>
                        </wp:positionV>
                        <wp:extent cx="836295" cy="1129665"/>
                        <wp:effectExtent l="0" t="0" r="1905" b="0"/>
                        <wp:wrapNone/>
                        <wp:docPr id="91" name="Picture 91">
                          <a:extLst xmlns:a="http://schemas.openxmlformats.org/drawingml/2006/main">
                            <a:ext uri="{FF2B5EF4-FFF2-40B4-BE49-F238E27FC236}">
                              <a16:creationId xmlns:a16="http://schemas.microsoft.com/office/drawing/2014/main" id="{7E85DDF6-77C0-41EC-955B-1782930C4A32}"/>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E85DDF6-77C0-41EC-955B-1782930C4A32}"/>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6295" cy="1129665"/>
                                </a:xfrm>
                                <a:prstGeom prst="rect">
                                  <a:avLst/>
                                </a:prstGeom>
                              </pic:spPr>
                            </pic:pic>
                          </a:graphicData>
                        </a:graphic>
                      </wp:anchor>
                    </w:drawing>
                  </w: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Cell Metabolism</w:t>
            </w:r>
            <w:r w:rsidRPr="000F40A3">
              <w:rPr>
                <w:rFonts w:ascii="微软雅黑" w:eastAsia="微软雅黑" w:hAnsi="微软雅黑" w:cs="微软雅黑"/>
                <w:color w:val="000000"/>
                <w:sz w:val="20"/>
                <w:szCs w:val="20"/>
              </w:rPr>
              <w:t>发表在代谢生物学的任何领域的新结果的报告。主题是健康和疾病的稳态机制，从模型系统到临床。期刊的使命是为整个代谢研究界的思想和理念交流提供一个论坛，培育在基础研究和临床研究中培育跨学科合作。</w:t>
            </w:r>
            <w:r w:rsidRPr="000F40A3">
              <w:rPr>
                <w:rFonts w:ascii="Arial" w:eastAsia="Times New Roman" w:hAnsi="Arial" w:cs="Arial"/>
                <w:color w:val="000000"/>
                <w:sz w:val="20"/>
                <w:szCs w:val="20"/>
              </w:rPr>
              <w:br/>
            </w:r>
            <w:r w:rsidRPr="000F40A3">
              <w:rPr>
                <w:rFonts w:ascii="微软雅黑" w:eastAsia="微软雅黑" w:hAnsi="微软雅黑" w:cs="微软雅黑"/>
                <w:color w:val="000000"/>
                <w:sz w:val="20"/>
                <w:szCs w:val="20"/>
              </w:rPr>
              <w:t>期刊领域包括细胞代谢在基础和转化代谢研究的</w:t>
            </w:r>
            <w:r w:rsidR="007F20D7">
              <w:rPr>
                <w:rFonts w:ascii="微软雅黑" w:eastAsia="微软雅黑" w:hAnsi="微软雅黑" w:cs="微软雅黑" w:hint="eastAsia"/>
                <w:color w:val="000000"/>
                <w:sz w:val="20"/>
                <w:szCs w:val="20"/>
              </w:rPr>
              <w:t>各个</w:t>
            </w:r>
            <w:r w:rsidRPr="000F40A3">
              <w:rPr>
                <w:rFonts w:ascii="微软雅黑" w:eastAsia="微软雅黑" w:hAnsi="微软雅黑" w:cs="微软雅黑"/>
                <w:color w:val="000000"/>
                <w:sz w:val="20"/>
                <w:szCs w:val="20"/>
              </w:rPr>
              <w:t>方面，包括</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但不限于</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脂类生成、肥胖、糖尿病、心血管疾病、高血压、骨内稳态、老龄化及压力反应、能量平衡、线粒体、激素受体。</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Cell Host &amp; Microbe</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1931-3128</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11.62</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15.753</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2007</w:t>
            </w:r>
          </w:p>
        </w:tc>
      </w:tr>
      <w:tr w:rsidR="000F40A3" w:rsidRPr="000F40A3" w:rsidTr="009711B7">
        <w:trPr>
          <w:trHeight w:val="2211"/>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1300"/>
            </w:tblGrid>
            <w:tr w:rsidR="000F40A3" w:rsidRPr="000F40A3" w:rsidTr="000F40A3">
              <w:trPr>
                <w:trHeight w:val="1602"/>
                <w:tblCellSpacing w:w="0" w:type="dxa"/>
              </w:trPr>
              <w:tc>
                <w:tcPr>
                  <w:tcW w:w="1300" w:type="dxa"/>
                  <w:tcBorders>
                    <w:top w:val="nil"/>
                    <w:left w:val="nil"/>
                    <w:bottom w:val="nil"/>
                    <w:right w:val="nil"/>
                  </w:tcBorders>
                  <w:shd w:val="clear" w:color="auto" w:fill="auto"/>
                  <w:noWrap/>
                  <w:vAlign w:val="bottom"/>
                  <w:hideMark/>
                </w:tcPr>
                <w:p w:rsidR="000F40A3" w:rsidRPr="000F40A3" w:rsidRDefault="008D5E4D" w:rsidP="009D4582">
                  <w:pPr>
                    <w:spacing w:after="0" w:line="240" w:lineRule="auto"/>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69504" behindDoc="0" locked="0" layoutInCell="1" allowOverlap="1">
                        <wp:simplePos x="0" y="0"/>
                        <wp:positionH relativeFrom="column">
                          <wp:posOffset>-1270</wp:posOffset>
                        </wp:positionH>
                        <wp:positionV relativeFrom="paragraph">
                          <wp:posOffset>-1153795</wp:posOffset>
                        </wp:positionV>
                        <wp:extent cx="798830" cy="1129665"/>
                        <wp:effectExtent l="0" t="0" r="1270" b="0"/>
                        <wp:wrapNone/>
                        <wp:docPr id="90" name="Picture 90">
                          <a:extLst xmlns:a="http://schemas.openxmlformats.org/drawingml/2006/main">
                            <a:ext uri="{FF2B5EF4-FFF2-40B4-BE49-F238E27FC236}">
                              <a16:creationId xmlns:a16="http://schemas.microsoft.com/office/drawing/2014/main" id="{0835FDBC-CF47-4C66-9979-A8D70BDE4F01}"/>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835FDBC-CF47-4C66-9979-A8D70BDE4F0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8830" cy="1129665"/>
                                </a:xfrm>
                                <a:prstGeom prst="rect">
                                  <a:avLst/>
                                </a:prstGeom>
                              </pic:spPr>
                            </pic:pic>
                          </a:graphicData>
                        </a:graphic>
                      </wp:anchor>
                    </w:drawing>
                  </w: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96505C"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Cell Host &amp; Microbe</w:t>
            </w:r>
            <w:r w:rsidRPr="000F40A3">
              <w:rPr>
                <w:rFonts w:ascii="微软雅黑" w:eastAsia="微软雅黑" w:hAnsi="微软雅黑" w:cs="微软雅黑"/>
                <w:color w:val="000000"/>
                <w:sz w:val="20"/>
                <w:szCs w:val="20"/>
              </w:rPr>
              <w:t>发表与微生物</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包括细菌、真菌、寄生虫和病毒</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有关的新发现，从分子和细胞生物学到转译研究，特别强调微生物与宿主</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脊椎动物、无脊椎动物或植物</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之间的关系。</w:t>
            </w:r>
            <w:r w:rsidRPr="000F40A3">
              <w:rPr>
                <w:rFonts w:ascii="Arial" w:eastAsia="Times New Roman" w:hAnsi="Arial" w:cs="Arial"/>
                <w:color w:val="000000"/>
                <w:sz w:val="20"/>
                <w:szCs w:val="20"/>
              </w:rPr>
              <w:t xml:space="preserve"> </w:t>
            </w:r>
          </w:p>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微软雅黑" w:eastAsia="微软雅黑" w:hAnsi="微软雅黑" w:cs="微软雅黑"/>
                <w:color w:val="000000"/>
                <w:sz w:val="20"/>
                <w:szCs w:val="20"/>
              </w:rPr>
              <w:t>总体是对微生物</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致病性、非致病性和共生</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的综合研究，并相互交流，它们的宿主，以及它们所居住的细胞环境。</w:t>
            </w:r>
            <w:r w:rsidRPr="000F40A3">
              <w:rPr>
                <w:rFonts w:ascii="Arial" w:eastAsia="Times New Roman" w:hAnsi="Arial" w:cs="Arial"/>
                <w:color w:val="000000"/>
                <w:sz w:val="20"/>
                <w:szCs w:val="20"/>
              </w:rPr>
              <w:t xml:space="preserve"> </w:t>
            </w:r>
            <w:r w:rsidRPr="000F40A3">
              <w:rPr>
                <w:rFonts w:ascii="微软雅黑" w:eastAsia="微软雅黑" w:hAnsi="微软雅黑" w:cs="微软雅黑"/>
                <w:color w:val="000000"/>
                <w:sz w:val="20"/>
                <w:szCs w:val="20"/>
              </w:rPr>
              <w:t>在细胞宿主和微生物上发表的研究不仅在其领域内具有特殊的意义，而且对研究领域之外的研究人员也有一定价值。除了原创文章，期刊还发表专家分析、评论和课题评论。</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Cell Stem Cell</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1934-5909</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14.07</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21.464</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2007</w:t>
            </w:r>
          </w:p>
        </w:tc>
      </w:tr>
      <w:tr w:rsidR="000F40A3" w:rsidRPr="000F40A3" w:rsidTr="000F5B6F">
        <w:trPr>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1218"/>
            </w:tblGrid>
            <w:tr w:rsidR="000F40A3" w:rsidRPr="000F40A3" w:rsidTr="008D5E4D">
              <w:trPr>
                <w:trHeight w:val="1465"/>
                <w:tblCellSpacing w:w="0" w:type="dxa"/>
              </w:trPr>
              <w:tc>
                <w:tcPr>
                  <w:tcW w:w="1218" w:type="dxa"/>
                  <w:tcBorders>
                    <w:top w:val="nil"/>
                    <w:left w:val="nil"/>
                    <w:bottom w:val="nil"/>
                    <w:right w:val="nil"/>
                  </w:tcBorders>
                  <w:shd w:val="clear" w:color="auto" w:fill="auto"/>
                  <w:noWrap/>
                  <w:vAlign w:val="bottom"/>
                  <w:hideMark/>
                </w:tcPr>
                <w:p w:rsidR="000F40A3" w:rsidRPr="000F40A3" w:rsidRDefault="008D5E4D" w:rsidP="009D4582">
                  <w:pPr>
                    <w:spacing w:after="0" w:line="240" w:lineRule="auto"/>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70528" behindDoc="0" locked="0" layoutInCell="1" allowOverlap="1">
                        <wp:simplePos x="0" y="0"/>
                        <wp:positionH relativeFrom="column">
                          <wp:posOffset>2540</wp:posOffset>
                        </wp:positionH>
                        <wp:positionV relativeFrom="paragraph">
                          <wp:posOffset>-1030605</wp:posOffset>
                        </wp:positionV>
                        <wp:extent cx="770890" cy="1069340"/>
                        <wp:effectExtent l="0" t="0" r="0" b="0"/>
                        <wp:wrapNone/>
                        <wp:docPr id="89" name="Picture 89">
                          <a:extLst xmlns:a="http://schemas.openxmlformats.org/drawingml/2006/main">
                            <a:ext uri="{FF2B5EF4-FFF2-40B4-BE49-F238E27FC236}">
                              <a16:creationId xmlns:a16="http://schemas.microsoft.com/office/drawing/2014/main" id="{FBA571FA-A1B5-4683-8786-48934EC684CD}"/>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BA571FA-A1B5-4683-8786-48934EC684CD}"/>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0890" cy="1069340"/>
                                </a:xfrm>
                                <a:prstGeom prst="rect">
                                  <a:avLst/>
                                </a:prstGeom>
                              </pic:spPr>
                            </pic:pic>
                          </a:graphicData>
                        </a:graphic>
                      </wp:anchor>
                    </w:drawing>
                  </w: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96505C" w:rsidRDefault="000F40A3" w:rsidP="009D4582">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 w:val="20"/>
                <w:szCs w:val="20"/>
              </w:rPr>
            </w:pPr>
            <w:r w:rsidRPr="000F40A3">
              <w:rPr>
                <w:rFonts w:ascii="Arial" w:eastAsia="Times New Roman" w:hAnsi="Arial" w:cs="Arial"/>
                <w:color w:val="000000"/>
                <w:sz w:val="20"/>
                <w:szCs w:val="20"/>
              </w:rPr>
              <w:t>Cell Stem Cell</w:t>
            </w:r>
            <w:r w:rsidRPr="000F40A3">
              <w:rPr>
                <w:rFonts w:ascii="微软雅黑" w:eastAsia="微软雅黑" w:hAnsi="微软雅黑" w:cs="微软雅黑"/>
                <w:color w:val="000000"/>
                <w:sz w:val="20"/>
                <w:szCs w:val="20"/>
              </w:rPr>
              <w:t>涵盖了所有的干细胞生物学。期刊关心的领域主要包括胚胎干细胞，多能性胚胎干细胞</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组织干细胞</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干细胞分化</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表观遗传学</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干细胞基因组学和系统生物学</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基因组重组</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癌症干细胞</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干细胞领域</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干细胞为基础的疾病模型</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核移植技术</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生物工程</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药物发现</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体内成像的干细胞治疗应用</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再生医学临床和转化的见解</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干细胞研究政策、伦理问题。</w:t>
            </w:r>
          </w:p>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微软雅黑" w:eastAsia="微软雅黑" w:hAnsi="微软雅黑" w:cs="微软雅黑"/>
                <w:color w:val="000000"/>
                <w:sz w:val="20"/>
                <w:szCs w:val="20"/>
              </w:rPr>
              <w:t>我们欢迎任何能够提供对干细胞生物学的见解的模型系统的研究，并且鼓励对人类干细胞的研究。</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Cell Chemical Biology</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2451-9456</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5.16</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6.762</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2016</w:t>
            </w:r>
          </w:p>
        </w:tc>
      </w:tr>
      <w:tr w:rsidR="000F40A3" w:rsidRPr="000F40A3" w:rsidTr="004174CD">
        <w:trPr>
          <w:trHeight w:val="209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790575" cy="1028700"/>
                  <wp:effectExtent l="0" t="0" r="9525" b="0"/>
                  <wp:wrapNone/>
                  <wp:docPr id="88" name="Picture 88">
                    <a:extLst xmlns:a="http://schemas.openxmlformats.org/drawingml/2006/main">
                      <a:ext uri="{FF2B5EF4-FFF2-40B4-BE49-F238E27FC236}">
                        <a16:creationId xmlns:a16="http://schemas.microsoft.com/office/drawing/2014/main" id="{5F93B3E5-C3BF-4052-8804-A3236867D28A}"/>
                      </a:ext>
                    </a:extLst>
                  </wp:docPr>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F93B3E5-C3BF-4052-8804-A3236867D28A}"/>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0575" cy="1027747"/>
                          </a:xfrm>
                          <a:prstGeom prst="rect">
                            <a:avLst/>
                          </a:prstGeom>
                        </pic:spPr>
                      </pic:pic>
                    </a:graphicData>
                  </a:graphic>
                </wp:anchor>
              </w:drawing>
            </w:r>
          </w:p>
          <w:tbl>
            <w:tblPr>
              <w:tblW w:w="1245" w:type="dxa"/>
              <w:tblCellSpacing w:w="0" w:type="dxa"/>
              <w:tblLayout w:type="fixed"/>
              <w:tblCellMar>
                <w:left w:w="0" w:type="dxa"/>
                <w:right w:w="0" w:type="dxa"/>
              </w:tblCellMar>
              <w:tblLook w:val="04A0" w:firstRow="1" w:lastRow="0" w:firstColumn="1" w:lastColumn="0" w:noHBand="0" w:noVBand="1"/>
            </w:tblPr>
            <w:tblGrid>
              <w:gridCol w:w="1245"/>
            </w:tblGrid>
            <w:tr w:rsidR="000F40A3" w:rsidRPr="000F40A3" w:rsidTr="008D5E4D">
              <w:trPr>
                <w:trHeight w:val="1369"/>
                <w:tblCellSpacing w:w="0" w:type="dxa"/>
              </w:trPr>
              <w:tc>
                <w:tcPr>
                  <w:tcW w:w="1245" w:type="dxa"/>
                  <w:tcBorders>
                    <w:top w:val="nil"/>
                    <w:left w:val="nil"/>
                    <w:bottom w:val="nil"/>
                    <w:right w:val="nil"/>
                  </w:tcBorders>
                  <w:shd w:val="clear" w:color="auto" w:fill="auto"/>
                  <w:noWrap/>
                  <w:vAlign w:val="bottom"/>
                  <w:hideMark/>
                </w:tcPr>
                <w:p w:rsidR="000F40A3" w:rsidRPr="000F40A3" w:rsidRDefault="000F40A3" w:rsidP="009D4582">
                  <w:pPr>
                    <w:spacing w:after="0" w:line="240" w:lineRule="auto"/>
                    <w:rPr>
                      <w:rFonts w:ascii="Calibri" w:eastAsia="Times New Roman" w:hAnsi="Calibri" w:cs="Calibri"/>
                      <w:color w:val="000000"/>
                    </w:rPr>
                  </w:pP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Cell Chemical Biology</w:t>
            </w:r>
            <w:r w:rsidRPr="000F40A3">
              <w:rPr>
                <w:rFonts w:ascii="微软雅黑" w:eastAsia="微软雅黑" w:hAnsi="微软雅黑" w:cs="微软雅黑"/>
                <w:color w:val="000000"/>
                <w:sz w:val="20"/>
                <w:szCs w:val="20"/>
              </w:rPr>
              <w:t>期刊发表和化学生物学的特殊兴趣的研究内容。该期刊于</w:t>
            </w:r>
            <w:r w:rsidRPr="000F40A3">
              <w:rPr>
                <w:rFonts w:ascii="Arial" w:eastAsia="Times New Roman" w:hAnsi="Arial" w:cs="Arial"/>
                <w:color w:val="000000"/>
                <w:sz w:val="20"/>
                <w:szCs w:val="20"/>
              </w:rPr>
              <w:t>1994</w:t>
            </w:r>
            <w:r w:rsidRPr="000F40A3">
              <w:rPr>
                <w:rFonts w:ascii="微软雅黑" w:eastAsia="微软雅黑" w:hAnsi="微软雅黑" w:cs="微软雅黑"/>
                <w:color w:val="000000"/>
                <w:sz w:val="20"/>
                <w:szCs w:val="20"/>
              </w:rPr>
              <w:t>年以化学与生物学杂志（</w:t>
            </w:r>
            <w:r w:rsidRPr="000F40A3">
              <w:rPr>
                <w:rFonts w:ascii="Arial" w:eastAsia="Times New Roman" w:hAnsi="Arial" w:cs="Arial"/>
                <w:color w:val="000000"/>
                <w:sz w:val="20"/>
                <w:szCs w:val="20"/>
              </w:rPr>
              <w:t>Chemistry &amp; Biology, 1074-5521</w:t>
            </w:r>
            <w:r w:rsidRPr="000F40A3">
              <w:rPr>
                <w:rFonts w:ascii="微软雅黑" w:eastAsia="微软雅黑" w:hAnsi="微软雅黑" w:cs="微软雅黑"/>
                <w:color w:val="000000"/>
                <w:sz w:val="20"/>
                <w:szCs w:val="20"/>
              </w:rPr>
              <w:t>）发表，是第一本认识到化学和生物交叉学科重要性的期刊，它的使命一直是支持和促进化学生物学和化学与生命科学之间的对话与合作。</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Biophysical Journal</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0006-3495</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3.15</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3.665</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1960</w:t>
            </w:r>
          </w:p>
        </w:tc>
      </w:tr>
      <w:tr w:rsidR="000F40A3" w:rsidRPr="000F40A3" w:rsidTr="004174CD">
        <w:trPr>
          <w:trHeight w:val="2112"/>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72576" behindDoc="0" locked="0" layoutInCell="1" allowOverlap="1">
                  <wp:simplePos x="0" y="0"/>
                  <wp:positionH relativeFrom="column">
                    <wp:posOffset>13970</wp:posOffset>
                  </wp:positionH>
                  <wp:positionV relativeFrom="paragraph">
                    <wp:posOffset>-1270</wp:posOffset>
                  </wp:positionV>
                  <wp:extent cx="790575" cy="1129665"/>
                  <wp:effectExtent l="0" t="0" r="9525" b="0"/>
                  <wp:wrapNone/>
                  <wp:docPr id="87" name="Picture 87">
                    <a:extLst xmlns:a="http://schemas.openxmlformats.org/drawingml/2006/main">
                      <a:ext uri="{FF2B5EF4-FFF2-40B4-BE49-F238E27FC236}">
                        <a16:creationId xmlns:a16="http://schemas.microsoft.com/office/drawing/2014/main" id="{808B348B-1505-4136-812A-06196C27084F}"/>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08B348B-1505-4136-812A-06196C27084F}"/>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0575" cy="1129665"/>
                          </a:xfrm>
                          <a:prstGeom prst="rect">
                            <a:avLst/>
                          </a:prstGeom>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18"/>
            </w:tblGrid>
            <w:tr w:rsidR="000F40A3" w:rsidRPr="000F40A3" w:rsidTr="008D5E4D">
              <w:trPr>
                <w:trHeight w:val="1519"/>
                <w:tblCellSpacing w:w="0" w:type="dxa"/>
              </w:trPr>
              <w:tc>
                <w:tcPr>
                  <w:tcW w:w="1218" w:type="dxa"/>
                  <w:tcBorders>
                    <w:top w:val="nil"/>
                    <w:left w:val="nil"/>
                    <w:bottom w:val="nil"/>
                    <w:right w:val="nil"/>
                  </w:tcBorders>
                  <w:shd w:val="clear" w:color="auto" w:fill="auto"/>
                  <w:noWrap/>
                  <w:vAlign w:val="bottom"/>
                  <w:hideMark/>
                </w:tcPr>
                <w:p w:rsidR="000F40A3" w:rsidRPr="000F40A3" w:rsidRDefault="000F40A3" w:rsidP="009D4582">
                  <w:pPr>
                    <w:spacing w:after="0" w:line="240" w:lineRule="auto"/>
                    <w:rPr>
                      <w:rFonts w:ascii="Calibri" w:eastAsia="Times New Roman" w:hAnsi="Calibri" w:cs="Calibri"/>
                      <w:color w:val="000000"/>
                    </w:rPr>
                  </w:pP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Biophysical Journal</w:t>
            </w:r>
            <w:r w:rsidRPr="000F40A3">
              <w:rPr>
                <w:rFonts w:ascii="微软雅黑" w:eastAsia="微软雅黑" w:hAnsi="微软雅黑" w:cs="微软雅黑"/>
                <w:color w:val="000000"/>
                <w:sz w:val="20"/>
                <w:szCs w:val="20"/>
              </w:rPr>
              <w:t>的任务是发表最高质量的工作，阐明重要的生物、化学或物理机制，并对分子、细胞、系统和全生物体水平的基本问题提供定量的解释。发表在该期刊上的文章将为生物学家提供普适兴趣的话题。</w:t>
            </w:r>
            <w:r w:rsidRPr="000F40A3">
              <w:rPr>
                <w:rFonts w:ascii="Arial" w:eastAsia="Times New Roman" w:hAnsi="Arial" w:cs="Arial"/>
                <w:color w:val="000000"/>
                <w:sz w:val="20"/>
                <w:szCs w:val="20"/>
              </w:rPr>
              <w:br/>
            </w:r>
            <w:r w:rsidRPr="000F40A3">
              <w:rPr>
                <w:rFonts w:ascii="微软雅黑" w:eastAsia="微软雅黑" w:hAnsi="微软雅黑" w:cs="微软雅黑"/>
                <w:color w:val="000000"/>
                <w:sz w:val="20"/>
                <w:szCs w:val="20"/>
              </w:rPr>
              <w:t>期刊领域包括：</w:t>
            </w:r>
            <w:r w:rsidRPr="000F40A3">
              <w:rPr>
                <w:rFonts w:ascii="Arial" w:eastAsia="Times New Roman" w:hAnsi="Arial" w:cs="Arial"/>
                <w:color w:val="000000"/>
                <w:sz w:val="20"/>
                <w:szCs w:val="20"/>
              </w:rPr>
              <w:t xml:space="preserve"> </w:t>
            </w:r>
            <w:r w:rsidRPr="000F40A3">
              <w:rPr>
                <w:rFonts w:ascii="微软雅黑" w:eastAsia="微软雅黑" w:hAnsi="微软雅黑" w:cs="微软雅黑"/>
                <w:color w:val="000000"/>
                <w:sz w:val="20"/>
                <w:szCs w:val="20"/>
              </w:rPr>
              <w:t>通道</w:t>
            </w:r>
            <w:r w:rsidR="008D5E4D">
              <w:rPr>
                <w:rFonts w:ascii="微软雅黑" w:eastAsia="微软雅黑" w:hAnsi="微软雅黑" w:cs="微软雅黑" w:hint="eastAsia"/>
                <w:color w:val="000000"/>
                <w:sz w:val="20"/>
                <w:szCs w:val="20"/>
              </w:rPr>
              <w:t>；</w:t>
            </w:r>
            <w:r w:rsidRPr="000F40A3">
              <w:rPr>
                <w:rFonts w:ascii="微软雅黑" w:eastAsia="微软雅黑" w:hAnsi="微软雅黑" w:cs="微软雅黑"/>
                <w:color w:val="000000"/>
                <w:sz w:val="20"/>
                <w:szCs w:val="20"/>
              </w:rPr>
              <w:t>受体和电子信号；蛋白；生物物理理论及模型；细胞生物物理学；</w:t>
            </w:r>
            <w:r w:rsidRPr="000F40A3">
              <w:rPr>
                <w:rFonts w:ascii="Arial" w:eastAsia="Times New Roman" w:hAnsi="Arial" w:cs="Arial"/>
                <w:color w:val="000000"/>
                <w:sz w:val="20"/>
                <w:szCs w:val="20"/>
              </w:rPr>
              <w:t xml:space="preserve"> </w:t>
            </w:r>
            <w:r w:rsidRPr="000F40A3">
              <w:rPr>
                <w:rFonts w:ascii="微软雅黑" w:eastAsia="微软雅黑" w:hAnsi="微软雅黑" w:cs="微软雅黑"/>
                <w:color w:val="000000"/>
                <w:sz w:val="20"/>
                <w:szCs w:val="20"/>
              </w:rPr>
              <w:t>光生物物理学；细胞膜；光谱成像及其他技术；肌肉及收缩性；超分子组装体；生物能学；电生理学</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Molecular Therapy</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1525-0016</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5.44</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8.402</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2000</w:t>
            </w:r>
          </w:p>
        </w:tc>
      </w:tr>
      <w:tr w:rsidR="000F40A3" w:rsidRPr="000F40A3" w:rsidTr="004174CD">
        <w:trPr>
          <w:trHeight w:val="1692"/>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1190"/>
            </w:tblGrid>
            <w:tr w:rsidR="000F40A3" w:rsidRPr="000F40A3" w:rsidTr="008D5E4D">
              <w:trPr>
                <w:trHeight w:val="1287"/>
                <w:tblCellSpacing w:w="0" w:type="dxa"/>
              </w:trPr>
              <w:tc>
                <w:tcPr>
                  <w:tcW w:w="1190" w:type="dxa"/>
                  <w:tcBorders>
                    <w:top w:val="nil"/>
                    <w:left w:val="nil"/>
                    <w:bottom w:val="nil"/>
                    <w:right w:val="nil"/>
                  </w:tcBorders>
                  <w:shd w:val="clear" w:color="auto" w:fill="auto"/>
                  <w:noWrap/>
                  <w:vAlign w:val="bottom"/>
                  <w:hideMark/>
                </w:tcPr>
                <w:p w:rsidR="000F40A3" w:rsidRPr="000F40A3" w:rsidRDefault="004174CD" w:rsidP="009D4582">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3600" behindDoc="0" locked="0" layoutInCell="1" allowOverlap="1">
                        <wp:simplePos x="0" y="0"/>
                        <wp:positionH relativeFrom="column">
                          <wp:posOffset>10795</wp:posOffset>
                        </wp:positionH>
                        <wp:positionV relativeFrom="paragraph">
                          <wp:posOffset>-873125</wp:posOffset>
                        </wp:positionV>
                        <wp:extent cx="771525" cy="1009650"/>
                        <wp:effectExtent l="19050" t="0" r="9525" b="0"/>
                        <wp:wrapNone/>
                        <wp:docPr id="86" name="Picture 86">
                          <a:extLst xmlns:a="http://schemas.openxmlformats.org/drawingml/2006/main">
                            <a:ext uri="{FF2B5EF4-FFF2-40B4-BE49-F238E27FC236}">
                              <a16:creationId xmlns:a16="http://schemas.microsoft.com/office/drawing/2014/main" id="{F42889E9-3F80-4453-A6EB-8AC8ECA76C2D}"/>
                            </a:ext>
                          </a:extLst>
                        </wp:docPr>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F42889E9-3F80-4453-A6EB-8AC8ECA76C2D}"/>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71525" cy="1009650"/>
                                </a:xfrm>
                                <a:prstGeom prst="rect">
                                  <a:avLst/>
                                </a:prstGeom>
                              </pic:spPr>
                            </pic:pic>
                          </a:graphicData>
                        </a:graphic>
                      </wp:anchor>
                    </w:drawing>
                  </w: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Molecular Therapy</w:t>
            </w:r>
            <w:r w:rsidRPr="000F40A3">
              <w:rPr>
                <w:rFonts w:ascii="微软雅黑" w:eastAsia="微软雅黑" w:hAnsi="微软雅黑" w:cs="微软雅黑"/>
                <w:color w:val="000000"/>
                <w:sz w:val="20"/>
                <w:szCs w:val="20"/>
              </w:rPr>
              <w:t>是研究分子和细胞疗法发展的主要国际期刊，用于纠正遗传和后天的疾病。</w:t>
            </w:r>
            <w:r w:rsidRPr="000F40A3">
              <w:rPr>
                <w:rFonts w:ascii="Arial" w:eastAsia="Times New Roman" w:hAnsi="Arial" w:cs="Arial"/>
                <w:color w:val="000000"/>
                <w:sz w:val="20"/>
                <w:szCs w:val="20"/>
              </w:rPr>
              <w:br/>
            </w:r>
            <w:r w:rsidRPr="000F40A3">
              <w:rPr>
                <w:rFonts w:ascii="微软雅黑" w:eastAsia="微软雅黑" w:hAnsi="微软雅黑" w:cs="微软雅黑"/>
                <w:color w:val="000000"/>
                <w:sz w:val="20"/>
                <w:szCs w:val="20"/>
              </w:rPr>
              <w:t>期刊邻域包括但不限于对基因转移和编辑的研究</w:t>
            </w:r>
            <w:r w:rsidR="008D5E4D">
              <w:rPr>
                <w:rFonts w:ascii="微软雅黑" w:eastAsia="微软雅黑" w:hAnsi="微软雅黑" w:cs="微软雅黑" w:hint="eastAsia"/>
                <w:color w:val="000000"/>
                <w:sz w:val="20"/>
                <w:szCs w:val="20"/>
              </w:rPr>
              <w:t>、</w:t>
            </w:r>
            <w:r w:rsidRPr="000F40A3">
              <w:rPr>
                <w:rFonts w:ascii="微软雅黑" w:eastAsia="微软雅黑" w:hAnsi="微软雅黑" w:cs="微软雅黑"/>
                <w:color w:val="000000"/>
                <w:sz w:val="20"/>
                <w:szCs w:val="20"/>
              </w:rPr>
              <w:t>向量开发和设计</w:t>
            </w:r>
            <w:r w:rsidR="008D5E4D">
              <w:rPr>
                <w:rFonts w:ascii="微软雅黑" w:eastAsia="微软雅黑" w:hAnsi="微软雅黑" w:cs="微软雅黑" w:hint="eastAsia"/>
                <w:color w:val="000000"/>
                <w:sz w:val="20"/>
                <w:szCs w:val="20"/>
              </w:rPr>
              <w:t>、</w:t>
            </w:r>
            <w:r w:rsidRPr="000F40A3">
              <w:rPr>
                <w:rFonts w:ascii="微软雅黑" w:eastAsia="微软雅黑" w:hAnsi="微软雅黑" w:cs="微软雅黑"/>
                <w:color w:val="000000"/>
                <w:sz w:val="20"/>
                <w:szCs w:val="20"/>
              </w:rPr>
              <w:t>干细胞操纵、疫苗开发、临床前目标验证、安全性和有效性的研究和临床试验。</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Cell Systems</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2405-4712</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4.98</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8.64</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2015</w:t>
            </w:r>
          </w:p>
        </w:tc>
      </w:tr>
      <w:tr w:rsidR="000F40A3" w:rsidRPr="000F40A3" w:rsidTr="004174CD">
        <w:trPr>
          <w:trHeight w:val="209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74624" behindDoc="0" locked="0" layoutInCell="1" allowOverlap="1">
                  <wp:simplePos x="0" y="0"/>
                  <wp:positionH relativeFrom="column">
                    <wp:posOffset>7620</wp:posOffset>
                  </wp:positionH>
                  <wp:positionV relativeFrom="paragraph">
                    <wp:posOffset>-7620</wp:posOffset>
                  </wp:positionV>
                  <wp:extent cx="771525" cy="1069340"/>
                  <wp:effectExtent l="0" t="0" r="9525" b="0"/>
                  <wp:wrapNone/>
                  <wp:docPr id="85" name="Picture 85">
                    <a:extLst xmlns:a="http://schemas.openxmlformats.org/drawingml/2006/main">
                      <a:ext uri="{FF2B5EF4-FFF2-40B4-BE49-F238E27FC236}">
                        <a16:creationId xmlns:a16="http://schemas.microsoft.com/office/drawing/2014/main" id="{BC45E040-1003-471E-A9BD-3FB537A00821}"/>
                      </a:ext>
                    </a:extLst>
                  </wp:docPr>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BC45E040-1003-471E-A9BD-3FB537A0082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71525" cy="1069340"/>
                          </a:xfrm>
                          <a:prstGeom prst="rect">
                            <a:avLst/>
                          </a:prstGeom>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04"/>
            </w:tblGrid>
            <w:tr w:rsidR="000F40A3" w:rsidRPr="000F40A3" w:rsidTr="008D5E4D">
              <w:trPr>
                <w:trHeight w:val="1437"/>
                <w:tblCellSpacing w:w="0" w:type="dxa"/>
              </w:trPr>
              <w:tc>
                <w:tcPr>
                  <w:tcW w:w="1204" w:type="dxa"/>
                  <w:tcBorders>
                    <w:top w:val="nil"/>
                    <w:left w:val="nil"/>
                    <w:bottom w:val="nil"/>
                    <w:right w:val="nil"/>
                  </w:tcBorders>
                  <w:shd w:val="clear" w:color="auto" w:fill="auto"/>
                  <w:noWrap/>
                  <w:vAlign w:val="bottom"/>
                  <w:hideMark/>
                </w:tcPr>
                <w:p w:rsidR="000F40A3" w:rsidRPr="000F40A3" w:rsidRDefault="000F40A3" w:rsidP="009D4582">
                  <w:pPr>
                    <w:spacing w:after="0" w:line="240" w:lineRule="auto"/>
                    <w:rPr>
                      <w:rFonts w:ascii="Calibri" w:eastAsia="Times New Roman" w:hAnsi="Calibri" w:cs="Calibri"/>
                      <w:color w:val="000000"/>
                    </w:rPr>
                  </w:pP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Cell Systems</w:t>
            </w:r>
            <w:r w:rsidRPr="000F40A3">
              <w:rPr>
                <w:rFonts w:ascii="微软雅黑" w:eastAsia="微软雅黑" w:hAnsi="微软雅黑" w:cs="微软雅黑"/>
                <w:color w:val="000000"/>
                <w:sz w:val="20"/>
                <w:szCs w:val="20"/>
              </w:rPr>
              <w:t>是一个广泛的、多学科月刊，为生命科学和相关学科中</w:t>
            </w:r>
            <w:r w:rsidRPr="000F40A3">
              <w:rPr>
                <w:rFonts w:ascii="Arial" w:eastAsia="Times New Roman" w:hAnsi="Arial" w:cs="Arial"/>
                <w:color w:val="000000"/>
                <w:sz w:val="20"/>
                <w:szCs w:val="20"/>
              </w:rPr>
              <w:t xml:space="preserve"> “</w:t>
            </w:r>
            <w:r w:rsidRPr="000F40A3">
              <w:rPr>
                <w:rFonts w:ascii="微软雅黑" w:eastAsia="微软雅黑" w:hAnsi="微软雅黑" w:cs="微软雅黑"/>
                <w:color w:val="000000"/>
                <w:sz w:val="20"/>
                <w:szCs w:val="20"/>
              </w:rPr>
              <w:t>系统</w:t>
            </w:r>
            <w:r w:rsidR="008D5E4D">
              <w:rPr>
                <w:rFonts w:ascii="微软雅黑" w:eastAsia="微软雅黑" w:hAnsi="微软雅黑" w:cs="微软雅黑"/>
                <w:color w:val="000000"/>
                <w:sz w:val="20"/>
                <w:szCs w:val="20"/>
              </w:rPr>
              <w:t>”</w:t>
            </w:r>
            <w:r w:rsidRPr="000F40A3">
              <w:rPr>
                <w:rFonts w:ascii="微软雅黑" w:eastAsia="微软雅黑" w:hAnsi="微软雅黑" w:cs="微软雅黑"/>
                <w:color w:val="000000"/>
                <w:sz w:val="20"/>
                <w:szCs w:val="20"/>
              </w:rPr>
              <w:t>级别的理念提供支持。凡描述创新发现、里程碑成果，广泛应用的工具或资源，及使用技术方面的新的简介都非常符合本刊需求。该期刊的研究范围包括</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分子、通路、细胞和组织到整个有机体、人群和生态系统，以及各种传统学科包括但不限于微生物学、癌症、免疫学、植物生物学、计算生物学、基因组学、蛋白质组学、转译医学、数字医疗、生物工程、系统和合成生物学。</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Trends in Cancer</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2405-8033</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4.52</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8.884</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2015</w:t>
            </w:r>
          </w:p>
        </w:tc>
      </w:tr>
      <w:tr w:rsidR="000F40A3" w:rsidRPr="000F40A3" w:rsidTr="004174CD">
        <w:trPr>
          <w:trHeight w:val="209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781050" cy="1028700"/>
                  <wp:effectExtent l="0" t="0" r="0" b="0"/>
                  <wp:wrapNone/>
                  <wp:docPr id="84" name="Picture 84">
                    <a:extLst xmlns:a="http://schemas.openxmlformats.org/drawingml/2006/main">
                      <a:ext uri="{FF2B5EF4-FFF2-40B4-BE49-F238E27FC236}">
                        <a16:creationId xmlns:a16="http://schemas.microsoft.com/office/drawing/2014/main" id="{ADC90CD5-F69F-4F86-9483-5BE57360373E}"/>
                      </a:ext>
                    </a:extLst>
                  </wp:docPr>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ADC90CD5-F69F-4F86-9483-5BE57360373E}"/>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81050" cy="1028382"/>
                          </a:xfrm>
                          <a:prstGeom prst="rect">
                            <a:avLst/>
                          </a:prstGeom>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163"/>
            </w:tblGrid>
            <w:tr w:rsidR="000F40A3" w:rsidRPr="000F40A3" w:rsidTr="008D5E4D">
              <w:trPr>
                <w:trHeight w:val="1383"/>
                <w:tblCellSpacing w:w="0" w:type="dxa"/>
              </w:trPr>
              <w:tc>
                <w:tcPr>
                  <w:tcW w:w="1163" w:type="dxa"/>
                  <w:tcBorders>
                    <w:top w:val="nil"/>
                    <w:left w:val="nil"/>
                    <w:bottom w:val="nil"/>
                    <w:right w:val="nil"/>
                  </w:tcBorders>
                  <w:shd w:val="clear" w:color="auto" w:fill="auto"/>
                  <w:noWrap/>
                  <w:vAlign w:val="bottom"/>
                  <w:hideMark/>
                </w:tcPr>
                <w:p w:rsidR="000F40A3" w:rsidRPr="000F40A3" w:rsidRDefault="000F40A3" w:rsidP="009D4582">
                  <w:pPr>
                    <w:spacing w:after="0" w:line="240" w:lineRule="auto"/>
                    <w:rPr>
                      <w:rFonts w:ascii="Calibri" w:eastAsia="Times New Roman" w:hAnsi="Calibri" w:cs="Calibri"/>
                      <w:color w:val="000000"/>
                    </w:rPr>
                  </w:pP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Trends in Cancer</w:t>
            </w:r>
            <w:r w:rsidRPr="000F40A3">
              <w:rPr>
                <w:rFonts w:ascii="微软雅黑" w:eastAsia="微软雅黑" w:hAnsi="微软雅黑" w:cs="微软雅黑"/>
                <w:color w:val="000000"/>
                <w:sz w:val="20"/>
                <w:szCs w:val="20"/>
              </w:rPr>
              <w:t>是趋势评论期刊的一个成员，它提供了简明而吸引人的专家评论文章，在癌症发现和迅速变化的医学领域中，发表了重要的前沿研究和进展。期刊以读者能够接受的方式，对最新的基础，转化和临床研究，以及产业研究及发展，技术创新，伦理或者肿瘤政策展开探讨。</w:t>
            </w:r>
            <w:r w:rsidRPr="000F40A3">
              <w:rPr>
                <w:rFonts w:ascii="Arial" w:eastAsia="Times New Roman" w:hAnsi="Arial" w:cs="Arial"/>
                <w:color w:val="000000"/>
                <w:sz w:val="20"/>
                <w:szCs w:val="20"/>
              </w:rPr>
              <w:br/>
            </w:r>
            <w:r w:rsidRPr="000F40A3">
              <w:rPr>
                <w:rFonts w:ascii="微软雅黑" w:eastAsia="微软雅黑" w:hAnsi="微软雅黑" w:cs="微软雅黑"/>
                <w:color w:val="000000"/>
                <w:sz w:val="20"/>
                <w:szCs w:val="20"/>
              </w:rPr>
              <w:t>涉及</w:t>
            </w:r>
            <w:r w:rsidR="008D5E4D">
              <w:rPr>
                <w:rFonts w:ascii="微软雅黑" w:eastAsia="微软雅黑" w:hAnsi="微软雅黑" w:cs="微软雅黑" w:hint="eastAsia"/>
                <w:color w:val="000000"/>
                <w:sz w:val="20"/>
                <w:szCs w:val="20"/>
              </w:rPr>
              <w:t>：</w:t>
            </w:r>
            <w:r w:rsidRPr="000F40A3">
              <w:rPr>
                <w:rFonts w:ascii="微软雅黑" w:eastAsia="微软雅黑" w:hAnsi="微软雅黑" w:cs="微软雅黑"/>
                <w:color w:val="000000"/>
                <w:sz w:val="20"/>
                <w:szCs w:val="20"/>
              </w:rPr>
              <w:t>成人和儿科癌症</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个性化医学</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肿瘤微环境、耐药和转移</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免疫治疗</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新陈代谢</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遗传学和表观遗传学</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诊断、生物标志物和治疗</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流行病学和预防癌症</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癌症相关的伦理</w:t>
            </w:r>
            <w:r w:rsidR="008D5E4D">
              <w:rPr>
                <w:rFonts w:ascii="微软雅黑" w:eastAsia="微软雅黑" w:hAnsi="微软雅黑" w:cs="微软雅黑" w:hint="eastAsia"/>
                <w:color w:val="000000"/>
                <w:sz w:val="20"/>
                <w:szCs w:val="20"/>
              </w:rPr>
              <w:t>,</w:t>
            </w:r>
            <w:r w:rsidRPr="000F40A3">
              <w:rPr>
                <w:rFonts w:ascii="微软雅黑" w:eastAsia="微软雅黑" w:hAnsi="微软雅黑" w:cs="微软雅黑"/>
                <w:color w:val="000000"/>
                <w:sz w:val="20"/>
                <w:szCs w:val="20"/>
              </w:rPr>
              <w:t>政策和资助计划。</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Chem</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2451-9294</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7.23</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18.205</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2016</w:t>
            </w:r>
          </w:p>
        </w:tc>
      </w:tr>
      <w:tr w:rsidR="000F40A3" w:rsidRPr="000F40A3" w:rsidTr="004174CD">
        <w:trPr>
          <w:trHeight w:val="209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76672" behindDoc="0" locked="0" layoutInCell="1" allowOverlap="1">
                  <wp:simplePos x="0" y="0"/>
                  <wp:positionH relativeFrom="column">
                    <wp:posOffset>7620</wp:posOffset>
                  </wp:positionH>
                  <wp:positionV relativeFrom="paragraph">
                    <wp:posOffset>-11430</wp:posOffset>
                  </wp:positionV>
                  <wp:extent cx="779780" cy="1026160"/>
                  <wp:effectExtent l="0" t="0" r="1270" b="2540"/>
                  <wp:wrapNone/>
                  <wp:docPr id="83" name="Picture 83">
                    <a:extLst xmlns:a="http://schemas.openxmlformats.org/drawingml/2006/main">
                      <a:ext uri="{FF2B5EF4-FFF2-40B4-BE49-F238E27FC236}">
                        <a16:creationId xmlns:a16="http://schemas.microsoft.com/office/drawing/2014/main" id="{32F14664-C71F-4A2C-8151-372D1E52700A}"/>
                      </a:ext>
                    </a:extLst>
                  </wp:docPr>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32F14664-C71F-4A2C-8151-372D1E52700A}"/>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79780" cy="1026160"/>
                          </a:xfrm>
                          <a:prstGeom prst="rect">
                            <a:avLst/>
                          </a:prstGeom>
                        </pic:spPr>
                      </pic:pic>
                    </a:graphicData>
                  </a:graphic>
                </wp:anchor>
              </w:drawing>
            </w:r>
          </w:p>
          <w:tbl>
            <w:tblPr>
              <w:tblW w:w="1272" w:type="dxa"/>
              <w:tblCellSpacing w:w="0" w:type="dxa"/>
              <w:tblLayout w:type="fixed"/>
              <w:tblCellMar>
                <w:left w:w="0" w:type="dxa"/>
                <w:right w:w="0" w:type="dxa"/>
              </w:tblCellMar>
              <w:tblLook w:val="04A0" w:firstRow="1" w:lastRow="0" w:firstColumn="1" w:lastColumn="0" w:noHBand="0" w:noVBand="1"/>
            </w:tblPr>
            <w:tblGrid>
              <w:gridCol w:w="1272"/>
            </w:tblGrid>
            <w:tr w:rsidR="000F40A3" w:rsidRPr="000F40A3" w:rsidTr="00B25BB5">
              <w:trPr>
                <w:trHeight w:val="1342"/>
                <w:tblCellSpacing w:w="0" w:type="dxa"/>
              </w:trPr>
              <w:tc>
                <w:tcPr>
                  <w:tcW w:w="1272" w:type="dxa"/>
                  <w:tcBorders>
                    <w:top w:val="nil"/>
                    <w:left w:val="nil"/>
                    <w:bottom w:val="nil"/>
                    <w:right w:val="nil"/>
                  </w:tcBorders>
                  <w:shd w:val="clear" w:color="auto" w:fill="auto"/>
                  <w:noWrap/>
                  <w:vAlign w:val="bottom"/>
                  <w:hideMark/>
                </w:tcPr>
                <w:p w:rsidR="000F40A3" w:rsidRPr="000F40A3" w:rsidRDefault="000F40A3" w:rsidP="009D4582">
                  <w:pPr>
                    <w:spacing w:after="0" w:line="240" w:lineRule="auto"/>
                    <w:rPr>
                      <w:rFonts w:ascii="Calibri" w:eastAsia="Times New Roman" w:hAnsi="Calibri" w:cs="Calibri"/>
                      <w:color w:val="000000"/>
                    </w:rPr>
                  </w:pP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B25BB5" w:rsidRDefault="000F40A3" w:rsidP="009D4582">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 w:val="20"/>
                <w:szCs w:val="20"/>
              </w:rPr>
            </w:pPr>
            <w:r w:rsidRPr="000F40A3">
              <w:rPr>
                <w:rFonts w:ascii="Arial" w:eastAsia="Times New Roman" w:hAnsi="Arial" w:cs="Arial"/>
                <w:color w:val="000000"/>
                <w:sz w:val="20"/>
                <w:szCs w:val="20"/>
              </w:rPr>
              <w:t>Chem</w:t>
            </w:r>
            <w:r w:rsidRPr="000F40A3">
              <w:rPr>
                <w:rFonts w:ascii="微软雅黑" w:eastAsia="微软雅黑" w:hAnsi="微软雅黑" w:cs="微软雅黑"/>
                <w:color w:val="000000"/>
                <w:sz w:val="20"/>
                <w:szCs w:val="20"/>
              </w:rPr>
              <w:t>是细胞杂志的姊妹期刊，它展示了化学及其子学科的基础研究如何有助于找到应对未来全球挑战的潜在解决方案。</w:t>
            </w:r>
          </w:p>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微软雅黑" w:eastAsia="微软雅黑" w:hAnsi="微软雅黑" w:cs="微软雅黑"/>
                <w:color w:val="000000"/>
                <w:sz w:val="20"/>
                <w:szCs w:val="20"/>
              </w:rPr>
              <w:t>在提交的</w:t>
            </w:r>
            <w:r w:rsidR="00B25BB5">
              <w:rPr>
                <w:rFonts w:ascii="微软雅黑" w:eastAsia="微软雅黑" w:hAnsi="微软雅黑" w:cs="微软雅黑" w:hint="eastAsia"/>
                <w:color w:val="000000"/>
                <w:sz w:val="20"/>
                <w:szCs w:val="20"/>
              </w:rPr>
              <w:t>文章时</w:t>
            </w:r>
            <w:r w:rsidRPr="000F40A3">
              <w:rPr>
                <w:rFonts w:ascii="微软雅黑" w:eastAsia="微软雅黑" w:hAnsi="微软雅黑" w:cs="微软雅黑"/>
                <w:color w:val="000000"/>
                <w:sz w:val="20"/>
                <w:szCs w:val="20"/>
              </w:rPr>
              <w:t>，作者</w:t>
            </w:r>
            <w:r w:rsidR="00B25BB5">
              <w:rPr>
                <w:rFonts w:ascii="微软雅黑" w:eastAsia="微软雅黑" w:hAnsi="微软雅黑" w:cs="微软雅黑" w:hint="eastAsia"/>
                <w:color w:val="000000"/>
                <w:sz w:val="20"/>
                <w:szCs w:val="20"/>
              </w:rPr>
              <w:t>需要</w:t>
            </w:r>
            <w:r w:rsidRPr="000F40A3">
              <w:rPr>
                <w:rFonts w:ascii="微软雅黑" w:eastAsia="微软雅黑" w:hAnsi="微软雅黑" w:cs="微软雅黑"/>
                <w:color w:val="000000"/>
                <w:sz w:val="20"/>
                <w:szCs w:val="20"/>
              </w:rPr>
              <w:t>将他们的文章归类为联合国确定的十个可持续发展目标</w:t>
            </w:r>
            <w:r w:rsidR="00B25BB5">
              <w:rPr>
                <w:rFonts w:ascii="微软雅黑" w:eastAsia="微软雅黑" w:hAnsi="微软雅黑" w:cs="微软雅黑" w:hint="eastAsia"/>
                <w:color w:val="000000"/>
                <w:sz w:val="20"/>
                <w:szCs w:val="20"/>
              </w:rPr>
              <w:t>之一</w:t>
            </w:r>
            <w:r w:rsidRPr="000F40A3">
              <w:rPr>
                <w:rFonts w:ascii="微软雅黑" w:eastAsia="微软雅黑" w:hAnsi="微软雅黑" w:cs="微软雅黑"/>
                <w:color w:val="000000"/>
                <w:sz w:val="20"/>
                <w:szCs w:val="20"/>
              </w:rPr>
              <w:t>：健康和幸福；负担得起的和清洁能源；</w:t>
            </w:r>
            <w:r w:rsidRPr="000F40A3">
              <w:rPr>
                <w:rFonts w:ascii="Arial" w:eastAsia="Times New Roman" w:hAnsi="Arial" w:cs="Arial"/>
                <w:color w:val="000000"/>
                <w:sz w:val="20"/>
                <w:szCs w:val="20"/>
              </w:rPr>
              <w:t xml:space="preserve"> </w:t>
            </w:r>
            <w:r w:rsidRPr="000F40A3">
              <w:rPr>
                <w:rFonts w:ascii="微软雅黑" w:eastAsia="微软雅黑" w:hAnsi="微软雅黑" w:cs="微软雅黑"/>
                <w:color w:val="000000"/>
                <w:sz w:val="20"/>
                <w:szCs w:val="20"/>
              </w:rPr>
              <w:t>干净的水和卫生设施；</w:t>
            </w:r>
            <w:r w:rsidRPr="000F40A3">
              <w:rPr>
                <w:rFonts w:ascii="Arial" w:eastAsia="Times New Roman" w:hAnsi="Arial" w:cs="Arial"/>
                <w:color w:val="000000"/>
                <w:sz w:val="20"/>
                <w:szCs w:val="20"/>
              </w:rPr>
              <w:t xml:space="preserve"> </w:t>
            </w:r>
            <w:r w:rsidRPr="000F40A3">
              <w:rPr>
                <w:rFonts w:ascii="微软雅黑" w:eastAsia="微软雅黑" w:hAnsi="微软雅黑" w:cs="微软雅黑"/>
                <w:color w:val="000000"/>
                <w:sz w:val="20"/>
                <w:szCs w:val="20"/>
              </w:rPr>
              <w:t>气候行动；零饥饿；可持续城市和社区；负责任的消费和生产；产业、创新和基础设施；生活在陆地上；生活用水</w:t>
            </w:r>
          </w:p>
        </w:tc>
      </w:tr>
      <w:tr w:rsidR="008171FE"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8171FE" w:rsidRPr="000F40A3" w:rsidRDefault="008171FE" w:rsidP="008171FE">
            <w:pPr>
              <w:rPr>
                <w:rFonts w:ascii="Calibri" w:eastAsia="Times New Roman" w:hAnsi="Calibri" w:cs="Calibri"/>
                <w:color w:val="000000"/>
              </w:rPr>
            </w:pPr>
            <w:r w:rsidRPr="000F40A3">
              <w:rPr>
                <w:rFonts w:ascii="Calibri" w:eastAsia="Times New Roman" w:hAnsi="Calibri" w:cs="Calibri"/>
                <w:color w:val="000000"/>
              </w:rPr>
              <w:t>Joule</w:t>
            </w:r>
          </w:p>
        </w:tc>
        <w:tc>
          <w:tcPr>
            <w:tcW w:w="446" w:type="pct"/>
            <w:vAlign w:val="center"/>
            <w:hideMark/>
          </w:tcPr>
          <w:p w:rsidR="008171FE" w:rsidRPr="000F40A3" w:rsidRDefault="008171FE" w:rsidP="008171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8171FE" w:rsidRPr="000F40A3" w:rsidRDefault="008171FE" w:rsidP="008171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2542-4351</w:t>
            </w:r>
          </w:p>
        </w:tc>
        <w:tc>
          <w:tcPr>
            <w:tcW w:w="581" w:type="pct"/>
            <w:vAlign w:val="center"/>
            <w:hideMark/>
          </w:tcPr>
          <w:p w:rsidR="008171FE" w:rsidRPr="000F40A3" w:rsidRDefault="008171FE" w:rsidP="008171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8171FE" w:rsidRPr="000F40A3" w:rsidRDefault="008171FE" w:rsidP="008171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 </w:t>
            </w:r>
          </w:p>
        </w:tc>
        <w:tc>
          <w:tcPr>
            <w:tcW w:w="759" w:type="pct"/>
            <w:vAlign w:val="center"/>
          </w:tcPr>
          <w:p w:rsidR="008171FE" w:rsidRPr="000F40A3" w:rsidRDefault="008171FE" w:rsidP="008171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tcPr>
          <w:p w:rsidR="008171FE" w:rsidRPr="000F40A3" w:rsidRDefault="008171FE" w:rsidP="008171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536" w:type="pct"/>
            <w:vAlign w:val="center"/>
          </w:tcPr>
          <w:p w:rsidR="008171FE" w:rsidRPr="000F40A3" w:rsidRDefault="008171FE" w:rsidP="008171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tcPr>
          <w:p w:rsidR="008171FE" w:rsidRPr="000F40A3" w:rsidRDefault="008171FE" w:rsidP="008171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2017</w:t>
            </w:r>
          </w:p>
        </w:tc>
      </w:tr>
      <w:tr w:rsidR="000F40A3" w:rsidRPr="000F40A3" w:rsidTr="009711B7">
        <w:trPr>
          <w:trHeight w:val="2324"/>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77696" behindDoc="0" locked="0" layoutInCell="1" allowOverlap="1">
                  <wp:simplePos x="0" y="0"/>
                  <wp:positionH relativeFrom="column">
                    <wp:posOffset>33655</wp:posOffset>
                  </wp:positionH>
                  <wp:positionV relativeFrom="paragraph">
                    <wp:posOffset>13335</wp:posOffset>
                  </wp:positionV>
                  <wp:extent cx="762000" cy="1060450"/>
                  <wp:effectExtent l="0" t="0" r="0" b="6350"/>
                  <wp:wrapNone/>
                  <wp:docPr id="82" name="Picture 82">
                    <a:extLst xmlns:a="http://schemas.openxmlformats.org/drawingml/2006/main">
                      <a:ext uri="{FF2B5EF4-FFF2-40B4-BE49-F238E27FC236}">
                        <a16:creationId xmlns:a16="http://schemas.microsoft.com/office/drawing/2014/main" id="{0735A08D-3DD5-46C3-B6FB-683A989B58C0}"/>
                      </a:ext>
                    </a:extLst>
                  </wp:docPr>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0735A08D-3DD5-46C3-B6FB-683A989B58C0}"/>
                              </a:ext>
                            </a:extLst>
                          </pic:cNvPr>
                          <pic:cNvPicPr>
                            <a:picLocks noChangeAspect="1"/>
                          </pic:cNvPicPr>
                        </pic:nvPicPr>
                        <pic:blipFill>
                          <a:blip r:embed="rId24" cstate="print"/>
                          <a:stretch>
                            <a:fillRect/>
                          </a:stretch>
                        </pic:blipFill>
                        <pic:spPr>
                          <a:xfrm>
                            <a:off x="0" y="0"/>
                            <a:ext cx="762000" cy="1060450"/>
                          </a:xfrm>
                          <a:prstGeom prst="rect">
                            <a:avLst/>
                          </a:prstGeom>
                        </pic:spPr>
                      </pic:pic>
                    </a:graphicData>
                  </a:graphic>
                </wp:anchor>
              </w:drawing>
            </w:r>
          </w:p>
          <w:tbl>
            <w:tblPr>
              <w:tblW w:w="1245" w:type="dxa"/>
              <w:tblCellSpacing w:w="0" w:type="dxa"/>
              <w:tblLayout w:type="fixed"/>
              <w:tblCellMar>
                <w:left w:w="0" w:type="dxa"/>
                <w:right w:w="0" w:type="dxa"/>
              </w:tblCellMar>
              <w:tblLook w:val="04A0" w:firstRow="1" w:lastRow="0" w:firstColumn="1" w:lastColumn="0" w:noHBand="0" w:noVBand="1"/>
            </w:tblPr>
            <w:tblGrid>
              <w:gridCol w:w="1245"/>
            </w:tblGrid>
            <w:tr w:rsidR="000F40A3" w:rsidRPr="000F40A3" w:rsidTr="00B25BB5">
              <w:trPr>
                <w:trHeight w:val="1479"/>
                <w:tblCellSpacing w:w="0" w:type="dxa"/>
              </w:trPr>
              <w:tc>
                <w:tcPr>
                  <w:tcW w:w="1245" w:type="dxa"/>
                  <w:tcBorders>
                    <w:top w:val="nil"/>
                    <w:left w:val="nil"/>
                    <w:bottom w:val="nil"/>
                    <w:right w:val="nil"/>
                  </w:tcBorders>
                  <w:shd w:val="clear" w:color="auto" w:fill="auto"/>
                  <w:noWrap/>
                  <w:vAlign w:val="bottom"/>
                  <w:hideMark/>
                </w:tcPr>
                <w:p w:rsidR="000F40A3" w:rsidRPr="000F5B6F" w:rsidRDefault="000F40A3" w:rsidP="009D4582">
                  <w:pPr>
                    <w:spacing w:after="0" w:line="240" w:lineRule="auto"/>
                    <w:rPr>
                      <w:rFonts w:ascii="Calibri" w:hAnsi="Calibri" w:cs="Calibri"/>
                      <w:color w:val="000000"/>
                    </w:rPr>
                  </w:pP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Joule</w:t>
            </w:r>
            <w:r w:rsidRPr="000F40A3">
              <w:rPr>
                <w:rFonts w:ascii="微软雅黑" w:eastAsia="微软雅黑" w:hAnsi="微软雅黑" w:cs="微软雅黑"/>
                <w:color w:val="000000"/>
                <w:sz w:val="20"/>
                <w:szCs w:val="20"/>
              </w:rPr>
              <w:t>是一本前瞻性的能源研究期刊，汇集了杰出而有见地的研究、分析和想法，以应对</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可持续能源的需求</w:t>
            </w:r>
            <w:r w:rsidRPr="000F40A3">
              <w:rPr>
                <w:rFonts w:ascii="Arial" w:eastAsia="Times New Roman" w:hAnsi="Arial" w:cs="Arial"/>
                <w:color w:val="000000"/>
                <w:sz w:val="20"/>
                <w:szCs w:val="20"/>
              </w:rPr>
              <w:t>“</w:t>
            </w:r>
            <w:r w:rsidRPr="000F40A3">
              <w:rPr>
                <w:rFonts w:ascii="微软雅黑" w:eastAsia="微软雅黑" w:hAnsi="微软雅黑" w:cs="微软雅黑"/>
                <w:color w:val="000000"/>
                <w:sz w:val="20"/>
                <w:szCs w:val="20"/>
              </w:rPr>
              <w:t>这一全球挑战</w:t>
            </w:r>
            <w:r w:rsidR="00B25BB5">
              <w:rPr>
                <w:rFonts w:ascii="微软雅黑" w:eastAsia="微软雅黑" w:hAnsi="微软雅黑" w:cs="微软雅黑" w:hint="eastAsia"/>
                <w:color w:val="000000"/>
                <w:sz w:val="20"/>
                <w:szCs w:val="20"/>
              </w:rPr>
              <w:t>，</w:t>
            </w:r>
            <w:r w:rsidR="00B25BB5" w:rsidRPr="000F40A3">
              <w:rPr>
                <w:rFonts w:ascii="Arial" w:eastAsia="Times New Roman" w:hAnsi="Arial" w:cs="Arial"/>
                <w:color w:val="000000"/>
                <w:sz w:val="20"/>
                <w:szCs w:val="20"/>
              </w:rPr>
              <w:t xml:space="preserve"> </w:t>
            </w:r>
            <w:r w:rsidRPr="000F40A3">
              <w:rPr>
                <w:rFonts w:ascii="微软雅黑" w:eastAsia="微软雅黑" w:hAnsi="微软雅黑" w:cs="微软雅黑"/>
                <w:color w:val="000000"/>
                <w:sz w:val="20"/>
                <w:szCs w:val="20"/>
              </w:rPr>
              <w:t>内容涵盖了能源研究的各个方面，从基础实验室研究到能源转换和存储再到全球范围内的有效分析。研究领域包括但不限于：电池和超级电容器、生物燃料与生物技术、碳捕集与封存、能源获取、能源政策与经济学、燃料电池、地热能、核电、太阳能、风能和水力发电、技术经济分析和生命周期评估等。</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Matter</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2590-2385</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 </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 </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2019</w:t>
            </w:r>
          </w:p>
        </w:tc>
      </w:tr>
      <w:tr w:rsidR="000F40A3" w:rsidRPr="000F40A3" w:rsidTr="00F658A0">
        <w:trPr>
          <w:trHeight w:val="209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1204"/>
            </w:tblGrid>
            <w:tr w:rsidR="000F40A3" w:rsidRPr="000F40A3" w:rsidTr="00B25BB5">
              <w:trPr>
                <w:trHeight w:val="1479"/>
                <w:tblCellSpacing w:w="0" w:type="dxa"/>
              </w:trPr>
              <w:tc>
                <w:tcPr>
                  <w:tcW w:w="1204" w:type="dxa"/>
                  <w:tcBorders>
                    <w:top w:val="nil"/>
                    <w:left w:val="nil"/>
                    <w:bottom w:val="nil"/>
                    <w:right w:val="nil"/>
                  </w:tcBorders>
                  <w:shd w:val="clear" w:color="auto" w:fill="auto"/>
                  <w:noWrap/>
                  <w:vAlign w:val="bottom"/>
                  <w:hideMark/>
                </w:tcPr>
                <w:p w:rsidR="000F40A3" w:rsidRPr="000F40A3" w:rsidRDefault="00B25BB5" w:rsidP="009D4582">
                  <w:pPr>
                    <w:spacing w:after="0" w:line="240" w:lineRule="auto"/>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78720" behindDoc="0" locked="0" layoutInCell="1" allowOverlap="1">
                        <wp:simplePos x="0" y="0"/>
                        <wp:positionH relativeFrom="column">
                          <wp:posOffset>7620</wp:posOffset>
                        </wp:positionH>
                        <wp:positionV relativeFrom="paragraph">
                          <wp:posOffset>-1118235</wp:posOffset>
                        </wp:positionV>
                        <wp:extent cx="804545" cy="1103630"/>
                        <wp:effectExtent l="0" t="0" r="0" b="1270"/>
                        <wp:wrapNone/>
                        <wp:docPr id="81" name="Picture 81">
                          <a:extLst xmlns:a="http://schemas.openxmlformats.org/drawingml/2006/main">
                            <a:ext uri="{FF2B5EF4-FFF2-40B4-BE49-F238E27FC236}">
                              <a16:creationId xmlns:a16="http://schemas.microsoft.com/office/drawing/2014/main" id="{0E238D71-5E79-4EDC-A1B5-014876ED7FDA}"/>
                            </a:ext>
                          </a:extLst>
                        </wp:docPr>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0E238D71-5E79-4EDC-A1B5-014876ED7FDA}"/>
                                    </a:ext>
                                  </a:extLst>
                                </pic:cNvPr>
                                <pic:cNvPicPr>
                                  <a:picLocks noChangeAspect="1"/>
                                </pic:cNvPicPr>
                              </pic:nvPicPr>
                              <pic:blipFill>
                                <a:blip r:embed="rId25" cstate="print"/>
                                <a:stretch>
                                  <a:fillRect/>
                                </a:stretch>
                              </pic:blipFill>
                              <pic:spPr>
                                <a:xfrm>
                                  <a:off x="0" y="0"/>
                                  <a:ext cx="804545" cy="1103630"/>
                                </a:xfrm>
                                <a:prstGeom prst="rect">
                                  <a:avLst/>
                                </a:prstGeom>
                              </pic:spPr>
                            </pic:pic>
                          </a:graphicData>
                        </a:graphic>
                      </wp:anchor>
                    </w:drawing>
                  </w: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Matter</w:t>
            </w:r>
            <w:r w:rsidRPr="000F40A3">
              <w:rPr>
                <w:rFonts w:ascii="微软雅黑" w:eastAsia="微软雅黑" w:hAnsi="微软雅黑" w:cs="微软雅黑"/>
                <w:color w:val="000000"/>
                <w:sz w:val="20"/>
                <w:szCs w:val="20"/>
              </w:rPr>
              <w:t>旨在成为材料领域的旗舰期刊，发布最有影响力的研究成果，引领材料学的发展并促进材料领域内的交流讨论，并向大众传播材料学知识。</w:t>
            </w:r>
            <w:r w:rsidRPr="000F40A3">
              <w:rPr>
                <w:rFonts w:ascii="Arial" w:eastAsia="Times New Roman" w:hAnsi="Arial" w:cs="Arial"/>
                <w:color w:val="000000"/>
                <w:sz w:val="20"/>
                <w:szCs w:val="20"/>
              </w:rPr>
              <w:br/>
            </w:r>
            <w:r w:rsidRPr="000F40A3">
              <w:rPr>
                <w:rFonts w:ascii="微软雅黑" w:eastAsia="微软雅黑" w:hAnsi="微软雅黑" w:cs="微软雅黑"/>
                <w:color w:val="000000"/>
                <w:sz w:val="20"/>
                <w:szCs w:val="20"/>
              </w:rPr>
              <w:t>期刊关注跨越多学科领域且具有变革性的材料学研究论文。内容覆盖：从基础到应用，从纳米到宏观，如基本合成、结构和特性，新材料系统性能，新颖的表征方法等。并将协助研究人员把他们的研究工作向世界展示，帮助他们探索背后深层次的科学以及即将到来的社会影响。</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One Earth</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2590-3322</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 </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 </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2019</w:t>
            </w:r>
          </w:p>
        </w:tc>
      </w:tr>
      <w:tr w:rsidR="000F40A3" w:rsidRPr="000F40A3" w:rsidTr="00F658A0">
        <w:trPr>
          <w:trHeight w:val="209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828675" cy="1066800"/>
                  <wp:effectExtent l="0" t="0" r="0" b="0"/>
                  <wp:wrapNone/>
                  <wp:docPr id="80" name="Picture 80">
                    <a:extLst xmlns:a="http://schemas.openxmlformats.org/drawingml/2006/main">
                      <a:ext uri="{FF2B5EF4-FFF2-40B4-BE49-F238E27FC236}">
                        <a16:creationId xmlns:a16="http://schemas.microsoft.com/office/drawing/2014/main" id="{DA2D1437-F086-4044-8D2C-FE877C6FE615}"/>
                      </a:ext>
                    </a:extLst>
                  </wp:docPr>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DA2D1437-F086-4044-8D2C-FE877C6FE615}"/>
                              </a:ext>
                            </a:extLst>
                          </pic:cNvPr>
                          <pic:cNvPicPr>
                            <a:picLocks noChangeAspect="1"/>
                          </pic:cNvPicPr>
                        </pic:nvPicPr>
                        <pic:blipFill>
                          <a:blip r:embed="rId26" cstate="print"/>
                          <a:stretch>
                            <a:fillRect/>
                          </a:stretch>
                        </pic:blipFill>
                        <pic:spPr>
                          <a:xfrm>
                            <a:off x="0" y="0"/>
                            <a:ext cx="828675" cy="1066800"/>
                          </a:xfrm>
                          <a:prstGeom prst="rect">
                            <a:avLst/>
                          </a:prstGeom>
                        </pic:spPr>
                      </pic:pic>
                    </a:graphicData>
                  </a:graphic>
                </wp:anchor>
              </w:drawing>
            </w:r>
          </w:p>
          <w:tbl>
            <w:tblPr>
              <w:tblW w:w="1285" w:type="dxa"/>
              <w:tblCellSpacing w:w="0" w:type="dxa"/>
              <w:tblLayout w:type="fixed"/>
              <w:tblCellMar>
                <w:left w:w="0" w:type="dxa"/>
                <w:right w:w="0" w:type="dxa"/>
              </w:tblCellMar>
              <w:tblLook w:val="04A0" w:firstRow="1" w:lastRow="0" w:firstColumn="1" w:lastColumn="0" w:noHBand="0" w:noVBand="1"/>
            </w:tblPr>
            <w:tblGrid>
              <w:gridCol w:w="1285"/>
            </w:tblGrid>
            <w:tr w:rsidR="000F40A3" w:rsidRPr="000F40A3" w:rsidTr="00B25BB5">
              <w:trPr>
                <w:trHeight w:val="1464"/>
                <w:tblCellSpacing w:w="0" w:type="dxa"/>
              </w:trPr>
              <w:tc>
                <w:tcPr>
                  <w:tcW w:w="1285" w:type="dxa"/>
                  <w:tcBorders>
                    <w:top w:val="nil"/>
                    <w:left w:val="nil"/>
                    <w:bottom w:val="nil"/>
                    <w:right w:val="nil"/>
                  </w:tcBorders>
                  <w:shd w:val="clear" w:color="auto" w:fill="auto"/>
                  <w:noWrap/>
                  <w:vAlign w:val="bottom"/>
                  <w:hideMark/>
                </w:tcPr>
                <w:p w:rsidR="000F40A3" w:rsidRPr="000F40A3" w:rsidRDefault="000F40A3" w:rsidP="009D4582">
                  <w:pPr>
                    <w:spacing w:after="0" w:line="240" w:lineRule="auto"/>
                    <w:rPr>
                      <w:rFonts w:ascii="Calibri" w:eastAsia="Times New Roman" w:hAnsi="Calibri" w:cs="Calibri"/>
                      <w:color w:val="000000"/>
                    </w:rPr>
                  </w:pPr>
                </w:p>
              </w:tc>
            </w:tr>
          </w:tbl>
          <w:p w:rsidR="000F40A3" w:rsidRPr="000F40A3" w:rsidRDefault="000F40A3" w:rsidP="009D4582">
            <w:pPr>
              <w:rPr>
                <w:rFonts w:ascii="Calibri" w:eastAsia="Times New Roman" w:hAnsi="Calibri" w:cs="Calibri"/>
                <w:color w:val="000000"/>
              </w:rPr>
            </w:pP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One Earth</w:t>
            </w:r>
            <w:r w:rsidRPr="000F40A3">
              <w:rPr>
                <w:rFonts w:ascii="微软雅黑" w:eastAsia="微软雅黑" w:hAnsi="微软雅黑" w:cs="微软雅黑"/>
                <w:color w:val="000000"/>
                <w:sz w:val="20"/>
                <w:szCs w:val="20"/>
              </w:rPr>
              <w:t>发表在全球环境变化和可持续发展科学各个方面的原创研究。旨在将自然科学、社会科学和应用科学结合起来，寻求有助于我们应对世界上最紧迫的社会环境挑战的知识和解决方案。内容涉及：全球环境变化的驱动力、机制和长期环境，地球系统的边界、阈值和临界点，</w:t>
            </w:r>
            <w:r w:rsidRPr="000F40A3">
              <w:rPr>
                <w:rFonts w:ascii="Arial" w:eastAsia="Times New Roman" w:hAnsi="Arial" w:cs="Arial"/>
                <w:color w:val="000000"/>
                <w:sz w:val="20"/>
                <w:szCs w:val="20"/>
              </w:rPr>
              <w:br/>
            </w:r>
            <w:r w:rsidRPr="000F40A3">
              <w:rPr>
                <w:rFonts w:ascii="微软雅黑" w:eastAsia="微软雅黑" w:hAnsi="微软雅黑" w:cs="微软雅黑"/>
                <w:color w:val="000000"/>
                <w:sz w:val="20"/>
                <w:szCs w:val="20"/>
              </w:rPr>
              <w:t>可持续发展地球的自然资产和生态系统，通往可持续和公平未来的政治、经济和技术途径等。</w:t>
            </w:r>
            <w:r w:rsidRPr="000F40A3">
              <w:rPr>
                <w:rFonts w:ascii="Arial" w:eastAsia="Times New Roman" w:hAnsi="Arial" w:cs="Arial"/>
                <w:color w:val="000000"/>
                <w:sz w:val="20"/>
                <w:szCs w:val="20"/>
              </w:rPr>
              <w:br/>
            </w:r>
            <w:r w:rsidRPr="000F40A3">
              <w:rPr>
                <w:rFonts w:ascii="微软雅黑" w:eastAsia="微软雅黑" w:hAnsi="微软雅黑" w:cs="微软雅黑"/>
                <w:color w:val="000000"/>
                <w:sz w:val="20"/>
                <w:szCs w:val="20"/>
              </w:rPr>
              <w:t>除了发表原创研究成果，还发表综述文章，以及就具有社会环境意义的观点</w:t>
            </w:r>
            <w:r w:rsidR="00B25BB5">
              <w:rPr>
                <w:rFonts w:ascii="微软雅黑" w:eastAsia="微软雅黑" w:hAnsi="微软雅黑" w:cs="微软雅黑" w:hint="eastAsia"/>
                <w:color w:val="000000"/>
                <w:sz w:val="20"/>
                <w:szCs w:val="20"/>
              </w:rPr>
              <w:t>和讨论</w:t>
            </w:r>
            <w:r w:rsidRPr="000F40A3">
              <w:rPr>
                <w:rFonts w:ascii="微软雅黑" w:eastAsia="微软雅黑" w:hAnsi="微软雅黑" w:cs="微软雅黑"/>
                <w:color w:val="000000"/>
                <w:sz w:val="20"/>
                <w:szCs w:val="20"/>
              </w:rPr>
              <w:t>。</w:t>
            </w:r>
          </w:p>
        </w:tc>
      </w:tr>
      <w:tr w:rsidR="000F40A3" w:rsidRPr="000F40A3" w:rsidTr="000F5B6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color w:val="000000"/>
              </w:rPr>
              <w:t>Trends in Chemistry</w:t>
            </w:r>
          </w:p>
        </w:tc>
        <w:tc>
          <w:tcPr>
            <w:tcW w:w="44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ISSN:</w:t>
            </w:r>
          </w:p>
        </w:tc>
        <w:tc>
          <w:tcPr>
            <w:tcW w:w="67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2589-5974</w:t>
            </w:r>
          </w:p>
        </w:tc>
        <w:tc>
          <w:tcPr>
            <w:tcW w:w="581"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Citescore:</w:t>
            </w:r>
          </w:p>
        </w:tc>
        <w:tc>
          <w:tcPr>
            <w:tcW w:w="492"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 </w:t>
            </w:r>
          </w:p>
        </w:tc>
        <w:tc>
          <w:tcPr>
            <w:tcW w:w="759"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Impact Factor:</w:t>
            </w:r>
          </w:p>
        </w:tc>
        <w:tc>
          <w:tcPr>
            <w:tcW w:w="447"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 </w:t>
            </w:r>
          </w:p>
        </w:tc>
        <w:tc>
          <w:tcPr>
            <w:tcW w:w="536"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微软雅黑" w:eastAsia="微软雅黑" w:hAnsi="微软雅黑" w:cs="微软雅黑"/>
                <w:color w:val="000000"/>
              </w:rPr>
              <w:t>创刊年</w:t>
            </w:r>
            <w:r w:rsidRPr="000F40A3">
              <w:rPr>
                <w:rFonts w:ascii="Calibri" w:eastAsia="Times New Roman" w:hAnsi="Calibri" w:cs="Calibri"/>
                <w:color w:val="000000"/>
              </w:rPr>
              <w:t>:</w:t>
            </w:r>
          </w:p>
        </w:tc>
        <w:tc>
          <w:tcPr>
            <w:tcW w:w="355" w:type="pct"/>
            <w:vAlign w:val="center"/>
            <w:hideMark/>
          </w:tcPr>
          <w:p w:rsidR="000F40A3" w:rsidRPr="000F40A3" w:rsidRDefault="000F40A3" w:rsidP="009D45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40A3">
              <w:rPr>
                <w:rFonts w:ascii="Calibri" w:eastAsia="Times New Roman" w:hAnsi="Calibri" w:cs="Calibri"/>
                <w:color w:val="000000"/>
              </w:rPr>
              <w:t>2019</w:t>
            </w:r>
          </w:p>
        </w:tc>
      </w:tr>
      <w:tr w:rsidR="000F40A3" w:rsidRPr="000F40A3" w:rsidTr="00F658A0">
        <w:trPr>
          <w:trHeight w:val="2098"/>
        </w:trPr>
        <w:tc>
          <w:tcPr>
            <w:cnfStyle w:val="001000000000" w:firstRow="0" w:lastRow="0" w:firstColumn="1" w:lastColumn="0" w:oddVBand="0" w:evenVBand="0" w:oddHBand="0" w:evenHBand="0" w:firstRowFirstColumn="0" w:firstRowLastColumn="0" w:lastRowFirstColumn="0" w:lastRowLastColumn="0"/>
            <w:tcW w:w="713" w:type="pct"/>
            <w:noWrap/>
            <w:vAlign w:val="center"/>
            <w:hideMark/>
          </w:tcPr>
          <w:p w:rsidR="000F40A3" w:rsidRPr="000F40A3" w:rsidRDefault="000F40A3" w:rsidP="009D4582">
            <w:pPr>
              <w:rPr>
                <w:rFonts w:ascii="Calibri" w:eastAsia="Times New Roman" w:hAnsi="Calibri" w:cs="Calibri"/>
                <w:color w:val="000000"/>
              </w:rPr>
            </w:pPr>
            <w:r w:rsidRPr="000F40A3">
              <w:rPr>
                <w:rFonts w:ascii="Calibri" w:eastAsia="Times New Roman" w:hAnsi="Calibri" w:cs="Calibri"/>
                <w:noProof/>
                <w:color w:val="000000"/>
              </w:rPr>
              <w:drawing>
                <wp:anchor distT="0" distB="0" distL="114300" distR="114300" simplePos="0" relativeHeight="251681792" behindDoc="0" locked="0" layoutInCell="1" allowOverlap="1">
                  <wp:simplePos x="0" y="0"/>
                  <wp:positionH relativeFrom="column">
                    <wp:posOffset>-1270</wp:posOffset>
                  </wp:positionH>
                  <wp:positionV relativeFrom="paragraph">
                    <wp:posOffset>-27305</wp:posOffset>
                  </wp:positionV>
                  <wp:extent cx="802005" cy="1035050"/>
                  <wp:effectExtent l="0" t="0" r="0" b="0"/>
                  <wp:wrapNone/>
                  <wp:docPr id="79" name="Picture 79">
                    <a:extLst xmlns:a="http://schemas.openxmlformats.org/drawingml/2006/main">
                      <a:ext uri="{FF2B5EF4-FFF2-40B4-BE49-F238E27FC236}">
                        <a16:creationId xmlns:a16="http://schemas.microsoft.com/office/drawing/2014/main" id="{251745B9-BA2A-47DE-9C64-4F7037C8D531}"/>
                      </a:ext>
                    </a:extLst>
                  </wp:docPr>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251745B9-BA2A-47DE-9C64-4F7037C8D531}"/>
                              </a:ext>
                            </a:extLst>
                          </pic:cNvPr>
                          <pic:cNvPicPr>
                            <a:picLocks noChangeAspect="1"/>
                          </pic:cNvPicPr>
                        </pic:nvPicPr>
                        <pic:blipFill>
                          <a:blip r:embed="rId27" cstate="print"/>
                          <a:stretch>
                            <a:fillRect/>
                          </a:stretch>
                        </pic:blipFill>
                        <pic:spPr>
                          <a:xfrm>
                            <a:off x="0" y="0"/>
                            <a:ext cx="802005" cy="1035050"/>
                          </a:xfrm>
                          <a:prstGeom prst="rect">
                            <a:avLst/>
                          </a:prstGeom>
                        </pic:spPr>
                      </pic:pic>
                    </a:graphicData>
                  </a:graphic>
                </wp:anchor>
              </w:drawing>
            </w:r>
          </w:p>
        </w:tc>
        <w:tc>
          <w:tcPr>
            <w:tcW w:w="4287" w:type="pct"/>
            <w:gridSpan w:val="8"/>
            <w:vAlign w:val="center"/>
            <w:hideMark/>
          </w:tcPr>
          <w:p w:rsidR="000F40A3" w:rsidRPr="000F40A3" w:rsidRDefault="000F40A3" w:rsidP="009D45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F40A3">
              <w:rPr>
                <w:rFonts w:ascii="Arial" w:eastAsia="Times New Roman" w:hAnsi="Arial" w:cs="Arial"/>
                <w:color w:val="000000"/>
                <w:sz w:val="20"/>
                <w:szCs w:val="20"/>
              </w:rPr>
              <w:t>Trends in Chemistry</w:t>
            </w:r>
            <w:r w:rsidRPr="000F40A3">
              <w:rPr>
                <w:rFonts w:ascii="微软雅黑" w:eastAsia="微软雅黑" w:hAnsi="微软雅黑" w:cs="微软雅黑"/>
                <w:color w:val="000000"/>
                <w:sz w:val="20"/>
                <w:szCs w:val="20"/>
              </w:rPr>
              <w:t>提供化学领域跨学科的综述文章、观点和短篇研究文章，用于讨论全部化学领域的重大和变革性概念</w:t>
            </w:r>
            <w:r w:rsidR="00B25BB5">
              <w:rPr>
                <w:rFonts w:ascii="微软雅黑" w:eastAsia="微软雅黑" w:hAnsi="微软雅黑" w:cs="微软雅黑" w:hint="eastAsia"/>
                <w:color w:val="000000"/>
                <w:sz w:val="20"/>
                <w:szCs w:val="20"/>
              </w:rPr>
              <w:t>，</w:t>
            </w:r>
            <w:r w:rsidRPr="000F40A3">
              <w:rPr>
                <w:rFonts w:ascii="微软雅黑" w:eastAsia="微软雅黑" w:hAnsi="微软雅黑" w:cs="微软雅黑"/>
                <w:color w:val="000000"/>
                <w:sz w:val="20"/>
                <w:szCs w:val="20"/>
              </w:rPr>
              <w:t>让学生和科学家随时了解该领域最紧迫的问题。</w:t>
            </w:r>
            <w:r w:rsidRPr="000F40A3">
              <w:rPr>
                <w:rFonts w:ascii="Arial" w:eastAsia="Times New Roman" w:hAnsi="Arial" w:cs="Arial"/>
                <w:color w:val="000000"/>
                <w:sz w:val="20"/>
                <w:szCs w:val="20"/>
              </w:rPr>
              <w:br/>
            </w:r>
            <w:r w:rsidRPr="000F40A3">
              <w:rPr>
                <w:rFonts w:ascii="微软雅黑" w:eastAsia="微软雅黑" w:hAnsi="微软雅黑" w:cs="微软雅黑"/>
                <w:color w:val="000000"/>
                <w:sz w:val="20"/>
                <w:szCs w:val="20"/>
              </w:rPr>
              <w:t>期刊重点介绍分析化学、无机化学、有机化学、物理化学和理论化学的所有方面，其主要主题包括：生物化学，催化，胶体，环境化学，材料，医学，聚合物和超分子化学。此外，我们欢迎有关化学教育、健康和安全、政策和公共关系、道德和法律的文章。</w:t>
            </w:r>
          </w:p>
        </w:tc>
      </w:tr>
    </w:tbl>
    <w:p w:rsidR="00E864EB" w:rsidRDefault="00E864EB" w:rsidP="00190B21">
      <w:pPr>
        <w:autoSpaceDE w:val="0"/>
        <w:autoSpaceDN w:val="0"/>
        <w:adjustRightInd w:val="0"/>
        <w:spacing w:after="0" w:line="240" w:lineRule="auto"/>
        <w:rPr>
          <w:rFonts w:ascii="Arial" w:eastAsia="微软雅黑" w:hAnsi="Arial" w:cs="Arial"/>
          <w:szCs w:val="19"/>
        </w:rPr>
      </w:pPr>
    </w:p>
    <w:p w:rsidR="003443C6" w:rsidRDefault="003443C6" w:rsidP="00190B21">
      <w:pPr>
        <w:autoSpaceDE w:val="0"/>
        <w:autoSpaceDN w:val="0"/>
        <w:adjustRightInd w:val="0"/>
        <w:spacing w:after="0" w:line="240" w:lineRule="auto"/>
        <w:rPr>
          <w:rFonts w:ascii="Arial" w:eastAsia="微软雅黑" w:hAnsi="Arial" w:cs="Arial"/>
          <w:szCs w:val="19"/>
        </w:rPr>
      </w:pPr>
    </w:p>
    <w:p w:rsidR="00E864EB" w:rsidRPr="006D21FD" w:rsidRDefault="00E864EB" w:rsidP="00190B21">
      <w:pPr>
        <w:autoSpaceDE w:val="0"/>
        <w:autoSpaceDN w:val="0"/>
        <w:adjustRightInd w:val="0"/>
        <w:spacing w:after="0" w:line="240" w:lineRule="auto"/>
        <w:rPr>
          <w:rFonts w:ascii="Arial" w:eastAsia="微软雅黑" w:hAnsi="Arial" w:cs="Arial"/>
          <w:szCs w:val="19"/>
        </w:rPr>
      </w:pPr>
    </w:p>
    <w:sectPr w:rsidR="00E864EB" w:rsidRPr="006D21FD" w:rsidSect="006D21FD">
      <w:headerReference w:type="defaul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25F" w:rsidRDefault="0072725F" w:rsidP="008036B4">
      <w:pPr>
        <w:spacing w:after="0" w:line="240" w:lineRule="auto"/>
      </w:pPr>
      <w:r>
        <w:separator/>
      </w:r>
    </w:p>
  </w:endnote>
  <w:endnote w:type="continuationSeparator" w:id="0">
    <w:p w:rsidR="0072725F" w:rsidRDefault="0072725F" w:rsidP="0080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25F" w:rsidRDefault="0072725F" w:rsidP="008036B4">
      <w:pPr>
        <w:spacing w:after="0" w:line="240" w:lineRule="auto"/>
      </w:pPr>
      <w:r>
        <w:separator/>
      </w:r>
    </w:p>
  </w:footnote>
  <w:footnote w:type="continuationSeparator" w:id="0">
    <w:p w:rsidR="0072725F" w:rsidRDefault="0072725F" w:rsidP="00803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EEB" w:rsidRPr="00F87457" w:rsidRDefault="00F87457" w:rsidP="00F87457">
    <w:pPr>
      <w:pStyle w:val="a3"/>
    </w:pPr>
    <w:r>
      <w:rPr>
        <w:noProof/>
      </w:rPr>
      <w:drawing>
        <wp:anchor distT="0" distB="0" distL="114300" distR="114300" simplePos="0" relativeHeight="251660288" behindDoc="0" locked="0" layoutInCell="1" allowOverlap="1">
          <wp:simplePos x="0" y="0"/>
          <wp:positionH relativeFrom="margin">
            <wp:posOffset>6324600</wp:posOffset>
          </wp:positionH>
          <wp:positionV relativeFrom="paragraph">
            <wp:posOffset>-333375</wp:posOffset>
          </wp:positionV>
          <wp:extent cx="619042" cy="62865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042" cy="6286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page">
            <wp:align>left</wp:align>
          </wp:positionH>
          <wp:positionV relativeFrom="paragraph">
            <wp:posOffset>-457200</wp:posOffset>
          </wp:positionV>
          <wp:extent cx="9294340" cy="866775"/>
          <wp:effectExtent l="0" t="0" r="254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294340" cy="866775"/>
                  </a:xfrm>
                  <a:prstGeom prst="rect">
                    <a:avLst/>
                  </a:prstGeom>
                </pic:spPr>
              </pic:pic>
            </a:graphicData>
          </a:graphic>
        </wp:anchor>
      </w:drawing>
    </w:r>
    <w:r w:rsidRPr="00F87457">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67"/>
    <w:rsid w:val="00016CC8"/>
    <w:rsid w:val="000442B5"/>
    <w:rsid w:val="000F40A3"/>
    <w:rsid w:val="000F5B6F"/>
    <w:rsid w:val="001227AF"/>
    <w:rsid w:val="00160EE5"/>
    <w:rsid w:val="00174B1A"/>
    <w:rsid w:val="00184148"/>
    <w:rsid w:val="00190B21"/>
    <w:rsid w:val="001B0CBA"/>
    <w:rsid w:val="001F5A41"/>
    <w:rsid w:val="0020698A"/>
    <w:rsid w:val="00206A11"/>
    <w:rsid w:val="0022206A"/>
    <w:rsid w:val="0023091C"/>
    <w:rsid w:val="00231A13"/>
    <w:rsid w:val="0027008E"/>
    <w:rsid w:val="002E2742"/>
    <w:rsid w:val="00335EEB"/>
    <w:rsid w:val="003443C6"/>
    <w:rsid w:val="00361023"/>
    <w:rsid w:val="00373256"/>
    <w:rsid w:val="004174CD"/>
    <w:rsid w:val="00452A73"/>
    <w:rsid w:val="00473372"/>
    <w:rsid w:val="00484C8A"/>
    <w:rsid w:val="004A1073"/>
    <w:rsid w:val="004E6B8D"/>
    <w:rsid w:val="004F6093"/>
    <w:rsid w:val="005A3039"/>
    <w:rsid w:val="005D1B50"/>
    <w:rsid w:val="00602BEF"/>
    <w:rsid w:val="006D21FD"/>
    <w:rsid w:val="006F4523"/>
    <w:rsid w:val="0072725F"/>
    <w:rsid w:val="007A7F21"/>
    <w:rsid w:val="007F20D7"/>
    <w:rsid w:val="008036B4"/>
    <w:rsid w:val="008171FE"/>
    <w:rsid w:val="00836703"/>
    <w:rsid w:val="00861F58"/>
    <w:rsid w:val="0087560D"/>
    <w:rsid w:val="008B25ED"/>
    <w:rsid w:val="008C534D"/>
    <w:rsid w:val="008D0703"/>
    <w:rsid w:val="008D3A73"/>
    <w:rsid w:val="008D5E4D"/>
    <w:rsid w:val="00920953"/>
    <w:rsid w:val="00963CDF"/>
    <w:rsid w:val="0096505C"/>
    <w:rsid w:val="009711B7"/>
    <w:rsid w:val="009759AD"/>
    <w:rsid w:val="009961A5"/>
    <w:rsid w:val="009D4582"/>
    <w:rsid w:val="00A105EE"/>
    <w:rsid w:val="00A4237A"/>
    <w:rsid w:val="00A5563C"/>
    <w:rsid w:val="00A77D67"/>
    <w:rsid w:val="00AA0AD9"/>
    <w:rsid w:val="00AA19AA"/>
    <w:rsid w:val="00AF4135"/>
    <w:rsid w:val="00B25BB5"/>
    <w:rsid w:val="00B8024D"/>
    <w:rsid w:val="00B84DAD"/>
    <w:rsid w:val="00B86E60"/>
    <w:rsid w:val="00B90959"/>
    <w:rsid w:val="00C00091"/>
    <w:rsid w:val="00C05E67"/>
    <w:rsid w:val="00CE608B"/>
    <w:rsid w:val="00D41165"/>
    <w:rsid w:val="00D8407E"/>
    <w:rsid w:val="00D932A8"/>
    <w:rsid w:val="00E61C0E"/>
    <w:rsid w:val="00E72E1A"/>
    <w:rsid w:val="00E73815"/>
    <w:rsid w:val="00E74394"/>
    <w:rsid w:val="00E864EB"/>
    <w:rsid w:val="00E92370"/>
    <w:rsid w:val="00EE0AF9"/>
    <w:rsid w:val="00F12821"/>
    <w:rsid w:val="00F20C43"/>
    <w:rsid w:val="00F658A0"/>
    <w:rsid w:val="00F87457"/>
    <w:rsid w:val="00F946B5"/>
    <w:rsid w:val="00FA4C6A"/>
    <w:rsid w:val="00FA5731"/>
    <w:rsid w:val="00FD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B4092"/>
  <w15:docId w15:val="{21179FCD-CA29-4E4E-A578-7206E7B0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6B4"/>
    <w:pPr>
      <w:tabs>
        <w:tab w:val="center" w:pos="4320"/>
        <w:tab w:val="right" w:pos="8640"/>
      </w:tabs>
      <w:spacing w:after="0" w:line="240" w:lineRule="auto"/>
    </w:pPr>
  </w:style>
  <w:style w:type="character" w:customStyle="1" w:styleId="a4">
    <w:name w:val="页眉 字符"/>
    <w:basedOn w:val="a0"/>
    <w:link w:val="a3"/>
    <w:uiPriority w:val="99"/>
    <w:rsid w:val="008036B4"/>
  </w:style>
  <w:style w:type="paragraph" w:styleId="a5">
    <w:name w:val="footer"/>
    <w:basedOn w:val="a"/>
    <w:link w:val="a6"/>
    <w:uiPriority w:val="99"/>
    <w:unhideWhenUsed/>
    <w:rsid w:val="008036B4"/>
    <w:pPr>
      <w:tabs>
        <w:tab w:val="center" w:pos="4320"/>
        <w:tab w:val="right" w:pos="8640"/>
      </w:tabs>
      <w:spacing w:after="0" w:line="240" w:lineRule="auto"/>
    </w:pPr>
  </w:style>
  <w:style w:type="character" w:customStyle="1" w:styleId="a6">
    <w:name w:val="页脚 字符"/>
    <w:basedOn w:val="a0"/>
    <w:link w:val="a5"/>
    <w:uiPriority w:val="99"/>
    <w:rsid w:val="008036B4"/>
  </w:style>
  <w:style w:type="character" w:styleId="a7">
    <w:name w:val="Hyperlink"/>
    <w:basedOn w:val="a0"/>
    <w:uiPriority w:val="99"/>
    <w:unhideWhenUsed/>
    <w:rsid w:val="00174B1A"/>
    <w:rPr>
      <w:color w:val="0563C1" w:themeColor="hyperlink"/>
      <w:u w:val="single"/>
    </w:rPr>
  </w:style>
  <w:style w:type="character" w:customStyle="1" w:styleId="1">
    <w:name w:val="未处理的提及1"/>
    <w:basedOn w:val="a0"/>
    <w:uiPriority w:val="99"/>
    <w:semiHidden/>
    <w:unhideWhenUsed/>
    <w:rsid w:val="00174B1A"/>
    <w:rPr>
      <w:color w:val="808080"/>
      <w:shd w:val="clear" w:color="auto" w:fill="E6E6E6"/>
    </w:rPr>
  </w:style>
  <w:style w:type="paragraph" w:styleId="a8">
    <w:name w:val="Balloon Text"/>
    <w:basedOn w:val="a"/>
    <w:link w:val="a9"/>
    <w:uiPriority w:val="99"/>
    <w:semiHidden/>
    <w:unhideWhenUsed/>
    <w:rsid w:val="00473372"/>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473372"/>
    <w:rPr>
      <w:rFonts w:ascii="Segoe UI" w:hAnsi="Segoe UI" w:cs="Segoe UI"/>
      <w:sz w:val="18"/>
      <w:szCs w:val="18"/>
    </w:rPr>
  </w:style>
  <w:style w:type="table" w:styleId="aa">
    <w:name w:val="Table Grid"/>
    <w:basedOn w:val="a1"/>
    <w:uiPriority w:val="39"/>
    <w:rsid w:val="00452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无格式表格 11"/>
    <w:basedOn w:val="a1"/>
    <w:uiPriority w:val="41"/>
    <w:rsid w:val="00C000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FollowedHyperlink"/>
    <w:basedOn w:val="a0"/>
    <w:uiPriority w:val="99"/>
    <w:semiHidden/>
    <w:unhideWhenUsed/>
    <w:rsid w:val="00D84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4571">
      <w:bodyDiv w:val="1"/>
      <w:marLeft w:val="0"/>
      <w:marRight w:val="0"/>
      <w:marTop w:val="0"/>
      <w:marBottom w:val="0"/>
      <w:divBdr>
        <w:top w:val="none" w:sz="0" w:space="0" w:color="auto"/>
        <w:left w:val="none" w:sz="0" w:space="0" w:color="auto"/>
        <w:bottom w:val="none" w:sz="0" w:space="0" w:color="auto"/>
        <w:right w:val="none" w:sz="0" w:space="0" w:color="auto"/>
      </w:divBdr>
    </w:div>
    <w:div w:id="464932665">
      <w:bodyDiv w:val="1"/>
      <w:marLeft w:val="0"/>
      <w:marRight w:val="0"/>
      <w:marTop w:val="0"/>
      <w:marBottom w:val="0"/>
      <w:divBdr>
        <w:top w:val="none" w:sz="0" w:space="0" w:color="auto"/>
        <w:left w:val="none" w:sz="0" w:space="0" w:color="auto"/>
        <w:bottom w:val="none" w:sz="0" w:space="0" w:color="auto"/>
        <w:right w:val="none" w:sz="0" w:space="0" w:color="auto"/>
      </w:divBdr>
    </w:div>
    <w:div w:id="565796849">
      <w:bodyDiv w:val="1"/>
      <w:marLeft w:val="0"/>
      <w:marRight w:val="0"/>
      <w:marTop w:val="0"/>
      <w:marBottom w:val="0"/>
      <w:divBdr>
        <w:top w:val="none" w:sz="0" w:space="0" w:color="auto"/>
        <w:left w:val="none" w:sz="0" w:space="0" w:color="auto"/>
        <w:bottom w:val="none" w:sz="0" w:space="0" w:color="auto"/>
        <w:right w:val="none" w:sz="0" w:space="0" w:color="auto"/>
      </w:divBdr>
    </w:div>
    <w:div w:id="948857145">
      <w:bodyDiv w:val="1"/>
      <w:marLeft w:val="0"/>
      <w:marRight w:val="0"/>
      <w:marTop w:val="0"/>
      <w:marBottom w:val="0"/>
      <w:divBdr>
        <w:top w:val="none" w:sz="0" w:space="0" w:color="auto"/>
        <w:left w:val="none" w:sz="0" w:space="0" w:color="auto"/>
        <w:bottom w:val="none" w:sz="0" w:space="0" w:color="auto"/>
        <w:right w:val="none" w:sz="0" w:space="0" w:color="auto"/>
      </w:divBdr>
    </w:div>
    <w:div w:id="1370032710">
      <w:bodyDiv w:val="1"/>
      <w:marLeft w:val="0"/>
      <w:marRight w:val="0"/>
      <w:marTop w:val="0"/>
      <w:marBottom w:val="0"/>
      <w:divBdr>
        <w:top w:val="none" w:sz="0" w:space="0" w:color="auto"/>
        <w:left w:val="none" w:sz="0" w:space="0" w:color="auto"/>
        <w:bottom w:val="none" w:sz="0" w:space="0" w:color="auto"/>
        <w:right w:val="none" w:sz="0" w:space="0" w:color="auto"/>
      </w:divBdr>
    </w:div>
    <w:div w:id="1442528084">
      <w:bodyDiv w:val="1"/>
      <w:marLeft w:val="0"/>
      <w:marRight w:val="0"/>
      <w:marTop w:val="0"/>
      <w:marBottom w:val="0"/>
      <w:divBdr>
        <w:top w:val="none" w:sz="0" w:space="0" w:color="auto"/>
        <w:left w:val="none" w:sz="0" w:space="0" w:color="auto"/>
        <w:bottom w:val="none" w:sz="0" w:space="0" w:color="auto"/>
        <w:right w:val="none" w:sz="0" w:space="0" w:color="auto"/>
      </w:divBdr>
    </w:div>
    <w:div w:id="1505196466">
      <w:bodyDiv w:val="1"/>
      <w:marLeft w:val="0"/>
      <w:marRight w:val="0"/>
      <w:marTop w:val="0"/>
      <w:marBottom w:val="0"/>
      <w:divBdr>
        <w:top w:val="none" w:sz="0" w:space="0" w:color="auto"/>
        <w:left w:val="none" w:sz="0" w:space="0" w:color="auto"/>
        <w:bottom w:val="none" w:sz="0" w:space="0" w:color="auto"/>
        <w:right w:val="none" w:sz="0" w:space="0" w:color="auto"/>
      </w:divBdr>
    </w:div>
    <w:div w:id="1682462889">
      <w:bodyDiv w:val="1"/>
      <w:marLeft w:val="0"/>
      <w:marRight w:val="0"/>
      <w:marTop w:val="0"/>
      <w:marBottom w:val="0"/>
      <w:divBdr>
        <w:top w:val="none" w:sz="0" w:space="0" w:color="auto"/>
        <w:left w:val="none" w:sz="0" w:space="0" w:color="auto"/>
        <w:bottom w:val="none" w:sz="0" w:space="0" w:color="auto"/>
        <w:right w:val="none" w:sz="0" w:space="0" w:color="auto"/>
      </w:divBdr>
    </w:div>
    <w:div w:id="1700282005">
      <w:bodyDiv w:val="1"/>
      <w:marLeft w:val="0"/>
      <w:marRight w:val="0"/>
      <w:marTop w:val="0"/>
      <w:marBottom w:val="0"/>
      <w:divBdr>
        <w:top w:val="none" w:sz="0" w:space="0" w:color="auto"/>
        <w:left w:val="none" w:sz="0" w:space="0" w:color="auto"/>
        <w:bottom w:val="none" w:sz="0" w:space="0" w:color="auto"/>
        <w:right w:val="none" w:sz="0" w:space="0" w:color="auto"/>
      </w:divBdr>
    </w:div>
    <w:div w:id="1708989054">
      <w:bodyDiv w:val="1"/>
      <w:marLeft w:val="0"/>
      <w:marRight w:val="0"/>
      <w:marTop w:val="0"/>
      <w:marBottom w:val="0"/>
      <w:divBdr>
        <w:top w:val="none" w:sz="0" w:space="0" w:color="auto"/>
        <w:left w:val="none" w:sz="0" w:space="0" w:color="auto"/>
        <w:bottom w:val="none" w:sz="0" w:space="0" w:color="auto"/>
        <w:right w:val="none" w:sz="0" w:space="0" w:color="auto"/>
      </w:divBdr>
    </w:div>
    <w:div w:id="1840998851">
      <w:bodyDiv w:val="1"/>
      <w:marLeft w:val="0"/>
      <w:marRight w:val="0"/>
      <w:marTop w:val="0"/>
      <w:marBottom w:val="0"/>
      <w:divBdr>
        <w:top w:val="none" w:sz="0" w:space="0" w:color="auto"/>
        <w:left w:val="none" w:sz="0" w:space="0" w:color="auto"/>
        <w:bottom w:val="none" w:sz="0" w:space="0" w:color="auto"/>
        <w:right w:val="none" w:sz="0" w:space="0" w:color="auto"/>
      </w:divBdr>
    </w:div>
    <w:div w:id="19491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3.gif"/><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Yao (ELS-BEI)</dc:creator>
  <cp:keywords/>
  <dc:description/>
  <cp:lastModifiedBy>lenovo</cp:lastModifiedBy>
  <cp:revision>2</cp:revision>
  <dcterms:created xsi:type="dcterms:W3CDTF">2019-12-26T03:35:00Z</dcterms:created>
  <dcterms:modified xsi:type="dcterms:W3CDTF">2019-12-26T03:35:00Z</dcterms:modified>
</cp:coreProperties>
</file>